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hint="eastAsia" w:ascii="黑体" w:hAnsi="宋体" w:eastAsia="黑体" w:cs="宋体"/>
          <w:kern w:val="0"/>
          <w:sz w:val="44"/>
          <w:szCs w:val="44"/>
          <w:lang w:val="en-US" w:eastAsia="zh-CN"/>
        </w:rPr>
      </w:pPr>
      <w:r>
        <w:rPr>
          <w:rFonts w:hint="eastAsia" w:ascii="黑体" w:hAnsi="宋体" w:eastAsia="黑体" w:cs="宋体"/>
          <w:kern w:val="0"/>
          <w:sz w:val="44"/>
          <w:szCs w:val="44"/>
          <w:lang w:val="en-US" w:eastAsia="zh-CN"/>
        </w:rPr>
        <w:t>河北经贸大学课程水平认定</w:t>
      </w:r>
    </w:p>
    <w:p>
      <w:pPr>
        <w:widowControl/>
        <w:spacing w:before="100" w:beforeAutospacing="1" w:after="100" w:afterAutospacing="1" w:line="360" w:lineRule="auto"/>
        <w:jc w:val="center"/>
        <w:rPr>
          <w:rFonts w:ascii="黑体" w:hAnsi="宋体" w:eastAsia="黑体" w:cs="宋体"/>
          <w:kern w:val="0"/>
          <w:sz w:val="44"/>
          <w:szCs w:val="44"/>
        </w:rPr>
      </w:pPr>
      <w:r>
        <w:rPr>
          <w:rFonts w:hint="eastAsia" w:ascii="黑体" w:hAnsi="宋体" w:eastAsia="黑体" w:cs="宋体"/>
          <w:kern w:val="0"/>
          <w:sz w:val="44"/>
          <w:szCs w:val="44"/>
        </w:rPr>
        <w:t>《</w:t>
      </w:r>
      <w:r>
        <w:rPr>
          <w:rFonts w:hint="eastAsia" w:ascii="黑体" w:hAnsi="华文中宋" w:eastAsia="黑体" w:cs="宋体"/>
          <w:kern w:val="0"/>
          <w:sz w:val="44"/>
          <w:szCs w:val="44"/>
        </w:rPr>
        <w:t>国际投资与跨国经营</w:t>
      </w:r>
      <w:r>
        <w:rPr>
          <w:rFonts w:hint="eastAsia" w:ascii="黑体" w:hAnsi="宋体" w:eastAsia="黑体" w:cs="宋体"/>
          <w:kern w:val="0"/>
          <w:sz w:val="44"/>
          <w:szCs w:val="44"/>
        </w:rPr>
        <w:t>》</w:t>
      </w:r>
      <w:r>
        <w:rPr>
          <w:rFonts w:hint="eastAsia" w:ascii="黑体" w:hAnsi="华文中宋" w:eastAsia="黑体" w:cs="宋体"/>
          <w:kern w:val="0"/>
          <w:sz w:val="44"/>
          <w:szCs w:val="44"/>
        </w:rPr>
        <w:t>课程大纲</w:t>
      </w:r>
    </w:p>
    <w:tbl>
      <w:tblPr>
        <w:tblStyle w:val="6"/>
        <w:tblW w:w="852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课程名称</w:t>
            </w:r>
          </w:p>
        </w:tc>
        <w:tc>
          <w:tcPr>
            <w:tcW w:w="2130" w:type="dxa"/>
            <w:shd w:val="clear" w:color="auto" w:fill="auto"/>
            <w:vAlign w:val="center"/>
          </w:tcPr>
          <w:p>
            <w:pPr>
              <w:adjustRightInd w:val="0"/>
              <w:snapToGrid w:val="0"/>
              <w:spacing w:line="360" w:lineRule="auto"/>
              <w:jc w:val="center"/>
              <w:rPr>
                <w:rFonts w:ascii="宋体"/>
                <w:sz w:val="24"/>
              </w:rPr>
            </w:pPr>
            <w:r>
              <w:rPr>
                <w:rFonts w:hint="eastAsia"/>
                <w:szCs w:val="21"/>
              </w:rPr>
              <w:t>国际投资与跨国经营</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课程类型</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总</w:t>
            </w:r>
            <w:r>
              <w:rPr>
                <w:rFonts w:ascii="宋体" w:hAnsi="宋体"/>
                <w:b/>
                <w:sz w:val="24"/>
              </w:rPr>
              <w:t xml:space="preserve"> </w:t>
            </w:r>
            <w:r>
              <w:rPr>
                <w:rFonts w:hint="eastAsia" w:ascii="宋体" w:hAnsi="宋体"/>
                <w:b/>
                <w:sz w:val="24"/>
              </w:rPr>
              <w:t>学</w:t>
            </w:r>
            <w:r>
              <w:rPr>
                <w:rFonts w:ascii="宋体" w:hAnsi="宋体"/>
                <w:b/>
                <w:sz w:val="24"/>
              </w:rPr>
              <w:t xml:space="preserve"> </w:t>
            </w:r>
            <w:r>
              <w:rPr>
                <w:rFonts w:hint="eastAsia" w:ascii="宋体" w:hAnsi="宋体"/>
                <w:b/>
                <w:sz w:val="24"/>
              </w:rPr>
              <w:t>时</w:t>
            </w:r>
          </w:p>
        </w:tc>
        <w:tc>
          <w:tcPr>
            <w:tcW w:w="2130" w:type="dxa"/>
            <w:shd w:val="clear" w:color="auto" w:fill="auto"/>
            <w:vAlign w:val="center"/>
          </w:tcPr>
          <w:p>
            <w:pPr>
              <w:adjustRightInd w:val="0"/>
              <w:snapToGrid w:val="0"/>
              <w:spacing w:line="360" w:lineRule="auto"/>
              <w:jc w:val="center"/>
              <w:rPr>
                <w:rFonts w:ascii="宋体"/>
                <w:sz w:val="24"/>
              </w:rPr>
            </w:pPr>
            <w:r>
              <w:rPr>
                <w:rFonts w:ascii="宋体" w:hAnsi="宋体"/>
                <w:sz w:val="24"/>
              </w:rPr>
              <w:t>32</w:t>
            </w:r>
            <w:r>
              <w:rPr>
                <w:rFonts w:hint="eastAsia" w:ascii="宋体" w:hAnsi="宋体"/>
                <w:sz w:val="24"/>
              </w:rPr>
              <w:t>学时</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学</w:t>
            </w:r>
            <w:r>
              <w:rPr>
                <w:rFonts w:ascii="宋体" w:hAnsi="宋体"/>
                <w:b/>
                <w:sz w:val="24"/>
              </w:rPr>
              <w:t xml:space="preserve">    </w:t>
            </w:r>
            <w:r>
              <w:rPr>
                <w:rFonts w:hint="eastAsia" w:ascii="宋体" w:hAnsi="宋体"/>
                <w:b/>
                <w:sz w:val="24"/>
              </w:rPr>
              <w:t>分</w:t>
            </w:r>
          </w:p>
        </w:tc>
        <w:tc>
          <w:tcPr>
            <w:tcW w:w="2885" w:type="dxa"/>
            <w:vAlign w:val="center"/>
          </w:tcPr>
          <w:p>
            <w:pPr>
              <w:adjustRightInd w:val="0"/>
              <w:snapToGrid w:val="0"/>
              <w:spacing w:line="360" w:lineRule="auto"/>
              <w:jc w:val="center"/>
              <w:rPr>
                <w:rFonts w:ascii="宋体"/>
                <w:sz w:val="24"/>
              </w:rPr>
            </w:pPr>
            <w:r>
              <w:rPr>
                <w:rFonts w:ascii="宋体" w:hAnsi="宋体"/>
                <w:sz w:val="24"/>
              </w:rPr>
              <w:t>2</w:t>
            </w:r>
            <w:r>
              <w:rPr>
                <w:rFonts w:hint="eastAsia" w:ascii="宋体" w:hAnsi="宋体"/>
                <w:sz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适用专业</w:t>
            </w:r>
          </w:p>
        </w:tc>
        <w:tc>
          <w:tcPr>
            <w:tcW w:w="2130" w:type="dxa"/>
            <w:shd w:val="clear" w:color="auto" w:fill="auto"/>
            <w:vAlign w:val="center"/>
          </w:tcPr>
          <w:p>
            <w:pPr>
              <w:adjustRightInd w:val="0"/>
              <w:snapToGrid w:val="0"/>
              <w:spacing w:line="360" w:lineRule="auto"/>
              <w:jc w:val="center"/>
              <w:rPr>
                <w:rFonts w:ascii="宋体"/>
                <w:sz w:val="24"/>
              </w:rPr>
            </w:pPr>
            <w:r>
              <w:rPr>
                <w:rFonts w:hint="eastAsia" w:ascii="宋体" w:hAnsi="宋体"/>
                <w:sz w:val="24"/>
              </w:rPr>
              <w:t>国际贸易学</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开课单位</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商学院</w:t>
            </w:r>
          </w:p>
        </w:tc>
      </w:tr>
    </w:tbl>
    <w:p>
      <w:pPr>
        <w:adjustRightInd w:val="0"/>
        <w:snapToGrid w:val="0"/>
        <w:spacing w:line="360" w:lineRule="auto"/>
        <w:rPr>
          <w:rFonts w:ascii="黑体" w:eastAsia="黑体"/>
        </w:rPr>
      </w:pPr>
    </w:p>
    <w:p>
      <w:pPr>
        <w:widowControl/>
        <w:numPr>
          <w:numId w:val="0"/>
        </w:numPr>
        <w:spacing w:before="100" w:beforeAutospacing="1" w:after="100" w:afterAutospacing="1" w:line="360" w:lineRule="exact"/>
        <w:ind w:leftChars="0"/>
        <w:jc w:val="left"/>
        <w:rPr>
          <w:rFonts w:hint="eastAsia" w:ascii="宋体" w:hAnsi="宋体" w:cs="宋体"/>
          <w:b/>
          <w:bCs/>
          <w:kern w:val="0"/>
          <w:sz w:val="24"/>
        </w:rPr>
      </w:pPr>
      <w:r>
        <w:rPr>
          <w:rFonts w:hint="eastAsia" w:ascii="宋体" w:hAnsi="宋体" w:cs="宋体"/>
          <w:b/>
          <w:bCs/>
          <w:kern w:val="0"/>
          <w:sz w:val="24"/>
          <w:lang w:eastAsia="zh-CN"/>
        </w:rPr>
        <w:t>一、</w:t>
      </w:r>
      <w:r>
        <w:rPr>
          <w:rFonts w:hint="eastAsia" w:ascii="宋体" w:hAnsi="宋体" w:cs="宋体"/>
          <w:b/>
          <w:bCs/>
          <w:kern w:val="0"/>
          <w:sz w:val="24"/>
        </w:rPr>
        <w:t xml:space="preserve">课程性质 </w:t>
      </w:r>
    </w:p>
    <w:p>
      <w:pPr>
        <w:widowControl/>
        <w:spacing w:before="100" w:beforeAutospacing="1" w:after="100" w:afterAutospacing="1" w:line="360" w:lineRule="exact"/>
        <w:ind w:firstLine="309" w:firstLineChars="147"/>
        <w:jc w:val="left"/>
        <w:rPr>
          <w:rFonts w:ascii="宋体" w:hAnsi="宋体" w:cs="宋体"/>
          <w:b/>
          <w:bCs/>
          <w:kern w:val="0"/>
          <w:sz w:val="24"/>
        </w:rPr>
      </w:pPr>
      <w:r>
        <w:rPr>
          <w:rFonts w:hint="eastAsia"/>
        </w:rPr>
        <w:t>本课程为国际经济与贸易专业课程。</w:t>
      </w: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二</w:t>
      </w:r>
      <w:r>
        <w:rPr>
          <w:rFonts w:hint="eastAsia" w:ascii="宋体" w:hAnsi="宋体" w:cs="宋体"/>
          <w:b/>
          <w:kern w:val="0"/>
          <w:sz w:val="24"/>
        </w:rPr>
        <w:t>、</w:t>
      </w:r>
      <w:r>
        <w:rPr>
          <w:rFonts w:hint="eastAsia" w:ascii="宋体" w:hAnsi="宋体" w:cs="宋体"/>
          <w:b/>
          <w:kern w:val="0"/>
          <w:sz w:val="24"/>
          <w:lang w:eastAsia="zh-CN"/>
        </w:rPr>
        <w:t>学习</w:t>
      </w:r>
      <w:r>
        <w:rPr>
          <w:rFonts w:hint="eastAsia" w:ascii="宋体" w:hAnsi="宋体" w:cs="宋体"/>
          <w:b/>
          <w:bCs/>
          <w:kern w:val="0"/>
          <w:sz w:val="24"/>
        </w:rPr>
        <w:t>目的</w:t>
      </w:r>
    </w:p>
    <w:p>
      <w:pPr>
        <w:widowControl w:val="0"/>
        <w:wordWrap/>
        <w:adjustRightInd/>
        <w:snapToGrid/>
        <w:spacing w:before="0" w:after="0" w:line="440" w:lineRule="exact"/>
        <w:ind w:left="0" w:leftChars="0" w:right="0" w:firstLine="420" w:firstLineChars="200"/>
        <w:jc w:val="both"/>
        <w:textAlignment w:val="auto"/>
        <w:outlineLvl w:val="9"/>
      </w:pPr>
      <w:r>
        <w:rPr>
          <w:rFonts w:hint="eastAsia"/>
        </w:rPr>
        <w:t>使学生了解和掌握跨国经营与直接投资领域的基本理论和前沿理论问题，进一步把握国际直接投资对全球经济经济的作用，提高学生运用国际直接投资理论与方法分析现实经济现象，解决经济问题的能力。</w:t>
      </w: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三、</w:t>
      </w:r>
      <w:r>
        <w:rPr>
          <w:rFonts w:hint="eastAsia" w:ascii="宋体" w:hAnsi="宋体" w:cs="宋体"/>
          <w:b/>
          <w:bCs/>
          <w:kern w:val="0"/>
          <w:sz w:val="24"/>
          <w:lang w:eastAsia="zh-CN"/>
        </w:rPr>
        <w:t>学习</w:t>
      </w:r>
      <w:r>
        <w:rPr>
          <w:rFonts w:hint="eastAsia" w:ascii="宋体" w:hAnsi="宋体" w:cs="宋体"/>
          <w:b/>
          <w:bCs/>
          <w:kern w:val="0"/>
          <w:sz w:val="24"/>
        </w:rPr>
        <w:t>要求</w:t>
      </w:r>
    </w:p>
    <w:p>
      <w:pPr>
        <w:widowControl/>
        <w:wordWrap/>
        <w:adjustRightInd/>
        <w:snapToGrid/>
        <w:spacing w:before="100" w:beforeAutospacing="1" w:after="100" w:afterAutospacing="1" w:line="440" w:lineRule="exact"/>
        <w:ind w:left="0" w:leftChars="0" w:right="0" w:firstLine="420" w:firstLineChars="200"/>
        <w:jc w:val="left"/>
        <w:textAlignment w:val="auto"/>
        <w:outlineLvl w:val="9"/>
      </w:pPr>
      <w:r>
        <w:rPr>
          <w:rFonts w:hint="eastAsia"/>
        </w:rPr>
        <w:t>根据</w:t>
      </w:r>
      <w:r>
        <w:rPr>
          <w:rFonts w:hint="eastAsia"/>
          <w:lang w:eastAsia="zh-CN"/>
        </w:rPr>
        <w:t>学习</w:t>
      </w:r>
      <w:r>
        <w:rPr>
          <w:rFonts w:hint="eastAsia"/>
        </w:rPr>
        <w:t>内容、学生特点及学时安排，采取自学、调研等相结合方式组织</w:t>
      </w:r>
      <w:r>
        <w:rPr>
          <w:rFonts w:hint="eastAsia"/>
          <w:lang w:eastAsia="zh-CN"/>
        </w:rPr>
        <w:t>学习</w:t>
      </w:r>
      <w:r>
        <w:rPr>
          <w:rFonts w:hint="eastAsia"/>
        </w:rPr>
        <w:t>，要求学生阅读大量的相关资料，完成相关的自学、调研等</w:t>
      </w:r>
      <w:r>
        <w:rPr>
          <w:rFonts w:hint="eastAsia"/>
          <w:lang w:eastAsia="zh-CN"/>
        </w:rPr>
        <w:t>学习</w:t>
      </w:r>
      <w:r>
        <w:rPr>
          <w:rFonts w:hint="eastAsia"/>
        </w:rPr>
        <w:t>环节，培养学生的独立研读能力。</w:t>
      </w:r>
    </w:p>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四、</w:t>
      </w:r>
      <w:r>
        <w:rPr>
          <w:rFonts w:hint="eastAsia" w:ascii="宋体" w:hAnsi="宋体" w:cs="宋体"/>
          <w:b/>
          <w:bCs/>
          <w:kern w:val="0"/>
          <w:sz w:val="24"/>
          <w:lang w:eastAsia="zh-CN"/>
        </w:rPr>
        <w:t>学习</w:t>
      </w:r>
      <w:r>
        <w:rPr>
          <w:rFonts w:hint="eastAsia" w:ascii="宋体" w:hAnsi="宋体" w:cs="宋体"/>
          <w:b/>
          <w:bCs/>
          <w:kern w:val="0"/>
          <w:sz w:val="24"/>
        </w:rPr>
        <w:t>内容及学时分配</w:t>
      </w:r>
    </w:p>
    <w:p>
      <w:pPr>
        <w:jc w:val="center"/>
        <w:rPr>
          <w:sz w:val="32"/>
        </w:rPr>
      </w:pPr>
      <w:r>
        <w:rPr>
          <w:rFonts w:hint="eastAsia"/>
          <w:sz w:val="32"/>
        </w:rPr>
        <w:t>课程内容与学时分配</w:t>
      </w:r>
    </w:p>
    <w:tbl>
      <w:tblPr>
        <w:tblStyle w:val="6"/>
        <w:tblW w:w="672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center"/>
              <w:rPr>
                <w:rFonts w:ascii="宋体"/>
                <w:b/>
                <w:kern w:val="0"/>
                <w:sz w:val="24"/>
                <w:szCs w:val="24"/>
              </w:rPr>
            </w:pPr>
            <w:r>
              <w:rPr>
                <w:rFonts w:hint="eastAsia" w:ascii="宋体" w:hAnsi="宋体"/>
                <w:b/>
                <w:kern w:val="0"/>
                <w:sz w:val="24"/>
                <w:szCs w:val="24"/>
              </w:rPr>
              <w:t>课</w:t>
            </w:r>
            <w:r>
              <w:rPr>
                <w:rFonts w:ascii="宋体" w:hAnsi="宋体"/>
                <w:b/>
                <w:kern w:val="0"/>
                <w:sz w:val="24"/>
                <w:szCs w:val="24"/>
              </w:rPr>
              <w:t xml:space="preserve"> </w:t>
            </w:r>
            <w:r>
              <w:rPr>
                <w:rFonts w:hint="eastAsia" w:ascii="宋体" w:hAnsi="宋体"/>
                <w:b/>
                <w:kern w:val="0"/>
                <w:sz w:val="24"/>
                <w:szCs w:val="24"/>
              </w:rPr>
              <w:t>程</w:t>
            </w:r>
            <w:r>
              <w:rPr>
                <w:rFonts w:ascii="宋体" w:hAnsi="宋体"/>
                <w:b/>
                <w:kern w:val="0"/>
                <w:sz w:val="24"/>
                <w:szCs w:val="24"/>
              </w:rPr>
              <w:t xml:space="preserve"> </w:t>
            </w:r>
            <w:r>
              <w:rPr>
                <w:rFonts w:hint="eastAsia" w:ascii="宋体" w:hAnsi="宋体"/>
                <w:b/>
                <w:kern w:val="0"/>
                <w:sz w:val="24"/>
                <w:szCs w:val="24"/>
              </w:rPr>
              <w:t>内</w:t>
            </w:r>
            <w:r>
              <w:rPr>
                <w:rFonts w:ascii="宋体" w:hAnsi="宋体"/>
                <w:b/>
                <w:kern w:val="0"/>
                <w:sz w:val="24"/>
                <w:szCs w:val="24"/>
              </w:rPr>
              <w:t xml:space="preserve"> </w:t>
            </w:r>
            <w:r>
              <w:rPr>
                <w:rFonts w:hint="eastAsia" w:ascii="宋体" w:hAnsi="宋体"/>
                <w:b/>
                <w:kern w:val="0"/>
                <w:sz w:val="24"/>
                <w:szCs w:val="24"/>
              </w:rPr>
              <w:t>容</w:t>
            </w:r>
          </w:p>
        </w:tc>
        <w:tc>
          <w:tcPr>
            <w:tcW w:w="2925" w:type="dxa"/>
            <w:gridSpan w:val="2"/>
            <w:vAlign w:val="center"/>
          </w:tcPr>
          <w:p>
            <w:pPr>
              <w:jc w:val="center"/>
              <w:rPr>
                <w:rFonts w:ascii="宋体"/>
                <w:b/>
                <w:kern w:val="0"/>
                <w:sz w:val="24"/>
                <w:szCs w:val="24"/>
              </w:rPr>
            </w:pPr>
            <w:r>
              <w:rPr>
                <w:rFonts w:hint="eastAsia" w:ascii="宋体" w:hAnsi="宋体"/>
                <w:b/>
                <w:kern w:val="0"/>
                <w:sz w:val="24"/>
                <w:szCs w:val="24"/>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center"/>
              <w:rPr>
                <w:rFonts w:ascii="宋体"/>
                <w:b/>
                <w:kern w:val="0"/>
                <w:sz w:val="24"/>
                <w:szCs w:val="24"/>
              </w:rPr>
            </w:pPr>
          </w:p>
        </w:tc>
        <w:tc>
          <w:tcPr>
            <w:tcW w:w="1155" w:type="dxa"/>
            <w:vAlign w:val="center"/>
          </w:tcPr>
          <w:p>
            <w:pPr>
              <w:ind w:firstLine="209" w:firstLineChars="99"/>
              <w:jc w:val="center"/>
              <w:rPr>
                <w:rFonts w:hint="eastAsia" w:ascii="宋体" w:eastAsia="宋体"/>
                <w:b/>
                <w:color w:val="FF0000"/>
                <w:kern w:val="0"/>
                <w:sz w:val="24"/>
                <w:szCs w:val="24"/>
                <w:lang w:eastAsia="zh-CN"/>
              </w:rPr>
            </w:pPr>
            <w:r>
              <w:rPr>
                <w:rFonts w:hint="eastAsia" w:ascii="宋体" w:hAnsi="宋体"/>
                <w:b/>
                <w:color w:val="FF0000"/>
                <w:kern w:val="0"/>
                <w:sz w:val="24"/>
                <w:szCs w:val="24"/>
                <w:lang w:eastAsia="zh-CN"/>
              </w:rPr>
              <w:t>自学</w:t>
            </w:r>
            <w:bookmarkStart w:id="0" w:name="_GoBack"/>
            <w:bookmarkEnd w:id="0"/>
          </w:p>
        </w:tc>
        <w:tc>
          <w:tcPr>
            <w:tcW w:w="1770" w:type="dxa"/>
            <w:vAlign w:val="center"/>
          </w:tcPr>
          <w:p>
            <w:pPr>
              <w:jc w:val="center"/>
              <w:rPr>
                <w:rFonts w:ascii="宋体"/>
                <w:b/>
                <w:kern w:val="0"/>
                <w:sz w:val="24"/>
                <w:szCs w:val="24"/>
              </w:rPr>
            </w:pPr>
            <w:r>
              <w:rPr>
                <w:rFonts w:hint="eastAsia" w:ascii="宋体" w:hAnsi="宋体"/>
                <w:b/>
                <w:kern w:val="0"/>
                <w:sz w:val="24"/>
                <w:szCs w:val="24"/>
              </w:rPr>
              <w:t>自学研讨调研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pStyle w:val="7"/>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0"/>
              <w:jc w:val="left"/>
              <w:rPr>
                <w:rFonts w:ascii="Courier New" w:hAnsi="Courier New" w:cs="Courier New"/>
                <w:b/>
                <w:color w:val="000000"/>
                <w:kern w:val="0"/>
                <w:sz w:val="24"/>
                <w:szCs w:val="24"/>
              </w:rPr>
            </w:pPr>
            <w:r>
              <w:rPr>
                <w:rFonts w:ascii="Courier New" w:hAnsi="Courier New" w:cs="Courier New"/>
                <w:b/>
                <w:color w:val="000000"/>
                <w:kern w:val="0"/>
                <w:sz w:val="24"/>
                <w:szCs w:val="24"/>
              </w:rPr>
              <w:t>跨国公司概论</w:t>
            </w:r>
          </w:p>
        </w:tc>
        <w:tc>
          <w:tcPr>
            <w:tcW w:w="1155" w:type="dxa"/>
            <w:vAlign w:val="center"/>
          </w:tcPr>
          <w:p>
            <w:pPr>
              <w:jc w:val="center"/>
              <w:rPr>
                <w:rFonts w:ascii="宋体" w:hAnsi="宋体"/>
                <w:b/>
                <w:kern w:val="0"/>
                <w:sz w:val="24"/>
                <w:szCs w:val="24"/>
              </w:rPr>
            </w:pPr>
            <w:r>
              <w:rPr>
                <w:rFonts w:hint="eastAsia" w:ascii="宋体" w:hAnsi="宋体"/>
                <w:b/>
                <w:kern w:val="0"/>
                <w:sz w:val="24"/>
                <w:szCs w:val="24"/>
              </w:rPr>
              <w:t>3</w:t>
            </w:r>
          </w:p>
        </w:tc>
        <w:tc>
          <w:tcPr>
            <w:tcW w:w="1770" w:type="dxa"/>
            <w:vAlign w:val="center"/>
          </w:tcPr>
          <w:p>
            <w:pPr>
              <w:jc w:val="center"/>
              <w:rPr>
                <w:rFonts w:ascii="宋体" w:hAnsi="宋体"/>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pStyle w:val="7"/>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0"/>
              <w:jc w:val="left"/>
              <w:rPr>
                <w:rFonts w:ascii="Courier New" w:hAnsi="Courier New" w:cs="Courier New"/>
                <w:b/>
                <w:color w:val="000000"/>
                <w:kern w:val="0"/>
                <w:sz w:val="24"/>
                <w:szCs w:val="24"/>
              </w:rPr>
            </w:pPr>
            <w:r>
              <w:rPr>
                <w:rFonts w:ascii="Courier New" w:hAnsi="Courier New" w:cs="Courier New"/>
                <w:b/>
                <w:color w:val="000000"/>
                <w:kern w:val="0"/>
                <w:sz w:val="24"/>
                <w:szCs w:val="24"/>
              </w:rPr>
              <w:t>跨国公司经营环境</w:t>
            </w:r>
          </w:p>
        </w:tc>
        <w:tc>
          <w:tcPr>
            <w:tcW w:w="1155" w:type="dxa"/>
            <w:vAlign w:val="center"/>
          </w:tcPr>
          <w:p>
            <w:pPr>
              <w:jc w:val="center"/>
              <w:rPr>
                <w:rFonts w:ascii="宋体" w:hAnsi="宋体"/>
                <w:b/>
                <w:kern w:val="0"/>
                <w:sz w:val="24"/>
                <w:szCs w:val="24"/>
              </w:rPr>
            </w:pPr>
            <w:r>
              <w:rPr>
                <w:rFonts w:hint="eastAsia" w:ascii="宋体" w:hAnsi="宋体"/>
                <w:b/>
                <w:kern w:val="0"/>
                <w:sz w:val="24"/>
                <w:szCs w:val="24"/>
              </w:rPr>
              <w:t>1</w:t>
            </w:r>
          </w:p>
        </w:tc>
        <w:tc>
          <w:tcPr>
            <w:tcW w:w="1770" w:type="dxa"/>
            <w:vAlign w:val="center"/>
          </w:tcPr>
          <w:p>
            <w:pPr>
              <w:ind w:left="357" w:leftChars="170" w:firstLine="316" w:firstLineChars="150"/>
              <w:rPr>
                <w:rFonts w:ascii="宋体" w:hAnsi="宋体"/>
                <w:b/>
                <w:kern w:val="0"/>
                <w:sz w:val="24"/>
                <w:szCs w:val="24"/>
              </w:rPr>
            </w:pPr>
            <w:r>
              <w:rPr>
                <w:rFonts w:ascii="宋体" w:hAnsi="宋体"/>
                <w:b/>
                <w:kern w:val="0"/>
                <w:sz w:val="24"/>
                <w:szCs w:val="24"/>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pStyle w:val="7"/>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0"/>
              <w:jc w:val="left"/>
              <w:rPr>
                <w:rFonts w:ascii="Courier New" w:hAnsi="Courier New" w:cs="Courier New"/>
                <w:b/>
                <w:color w:val="000000"/>
                <w:kern w:val="0"/>
                <w:sz w:val="24"/>
                <w:szCs w:val="24"/>
              </w:rPr>
            </w:pPr>
            <w:r>
              <w:rPr>
                <w:rFonts w:ascii="Courier New" w:hAnsi="Courier New" w:cs="Courier New"/>
                <w:b/>
                <w:color w:val="000000"/>
                <w:kern w:val="0"/>
                <w:sz w:val="24"/>
                <w:szCs w:val="24"/>
              </w:rPr>
              <w:t>跨国进入决策与经济效应</w:t>
            </w:r>
          </w:p>
          <w:p>
            <w:pPr>
              <w:jc w:val="center"/>
              <w:rPr>
                <w:rFonts w:ascii="宋体"/>
                <w:b/>
                <w:kern w:val="0"/>
                <w:sz w:val="24"/>
                <w:szCs w:val="24"/>
              </w:rPr>
            </w:pPr>
          </w:p>
        </w:tc>
        <w:tc>
          <w:tcPr>
            <w:tcW w:w="1155" w:type="dxa"/>
            <w:vAlign w:val="center"/>
          </w:tcPr>
          <w:p>
            <w:pPr>
              <w:jc w:val="center"/>
              <w:rPr>
                <w:rFonts w:ascii="宋体" w:hAnsi="宋体"/>
                <w:b/>
                <w:kern w:val="0"/>
                <w:sz w:val="24"/>
                <w:szCs w:val="24"/>
              </w:rPr>
            </w:pPr>
            <w:r>
              <w:rPr>
                <w:rFonts w:hint="eastAsia" w:ascii="宋体" w:hAnsi="宋体"/>
                <w:b/>
                <w:kern w:val="0"/>
                <w:sz w:val="24"/>
                <w:szCs w:val="24"/>
              </w:rPr>
              <w:t>3</w:t>
            </w:r>
          </w:p>
        </w:tc>
        <w:tc>
          <w:tcPr>
            <w:tcW w:w="1770" w:type="dxa"/>
            <w:vAlign w:val="center"/>
          </w:tcPr>
          <w:p>
            <w:pPr>
              <w:jc w:val="center"/>
              <w:rPr>
                <w:rFonts w:ascii="宋体" w:hAnsi="宋体"/>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pStyle w:val="7"/>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0"/>
              <w:jc w:val="left"/>
              <w:rPr>
                <w:rFonts w:hint="eastAsia" w:ascii="Courier New" w:hAnsi="Courier New" w:cs="Courier New"/>
                <w:b/>
                <w:color w:val="000000"/>
                <w:kern w:val="0"/>
                <w:sz w:val="24"/>
                <w:szCs w:val="24"/>
              </w:rPr>
            </w:pPr>
            <w:r>
              <w:rPr>
                <w:rFonts w:ascii="Courier New" w:hAnsi="Courier New" w:cs="Courier New"/>
                <w:b/>
                <w:color w:val="000000"/>
                <w:kern w:val="0"/>
                <w:sz w:val="24"/>
                <w:szCs w:val="24"/>
              </w:rPr>
              <w:t>跨国公司的法律形式和组织结构控制</w:t>
            </w:r>
          </w:p>
          <w:p>
            <w:pPr>
              <w:jc w:val="center"/>
              <w:rPr>
                <w:rFonts w:ascii="宋体"/>
                <w:b/>
                <w:kern w:val="0"/>
                <w:sz w:val="24"/>
                <w:szCs w:val="24"/>
              </w:rPr>
            </w:pPr>
          </w:p>
        </w:tc>
        <w:tc>
          <w:tcPr>
            <w:tcW w:w="1155" w:type="dxa"/>
            <w:vAlign w:val="center"/>
          </w:tcPr>
          <w:p>
            <w:pPr>
              <w:jc w:val="center"/>
              <w:rPr>
                <w:rFonts w:ascii="宋体" w:hAnsi="宋体"/>
                <w:b/>
                <w:kern w:val="0"/>
                <w:sz w:val="24"/>
                <w:szCs w:val="24"/>
              </w:rPr>
            </w:pPr>
            <w:r>
              <w:rPr>
                <w:rFonts w:hint="eastAsia" w:ascii="宋体" w:hAnsi="宋体"/>
                <w:b/>
                <w:kern w:val="0"/>
                <w:sz w:val="24"/>
                <w:szCs w:val="24"/>
              </w:rPr>
              <w:t>3</w:t>
            </w:r>
          </w:p>
        </w:tc>
        <w:tc>
          <w:tcPr>
            <w:tcW w:w="1770" w:type="dxa"/>
            <w:vAlign w:val="center"/>
          </w:tcPr>
          <w:p>
            <w:pPr>
              <w:jc w:val="center"/>
              <w:rPr>
                <w:rFonts w:ascii="宋体" w:hAnsi="宋体"/>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pStyle w:val="7"/>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0"/>
              <w:jc w:val="left"/>
              <w:rPr>
                <w:rFonts w:ascii="Courier New" w:hAnsi="Courier New" w:cs="Courier New"/>
                <w:b/>
                <w:color w:val="000000"/>
                <w:kern w:val="0"/>
                <w:sz w:val="24"/>
                <w:szCs w:val="24"/>
              </w:rPr>
            </w:pPr>
            <w:r>
              <w:rPr>
                <w:rFonts w:ascii="Courier New" w:hAnsi="Courier New" w:cs="Courier New"/>
                <w:b/>
                <w:color w:val="000000"/>
                <w:kern w:val="0"/>
                <w:sz w:val="24"/>
                <w:szCs w:val="24"/>
              </w:rPr>
              <w:t>以国际贸易学说为基础的跨国经营理论</w:t>
            </w:r>
          </w:p>
        </w:tc>
        <w:tc>
          <w:tcPr>
            <w:tcW w:w="1155" w:type="dxa"/>
            <w:vAlign w:val="center"/>
          </w:tcPr>
          <w:p>
            <w:pPr>
              <w:jc w:val="center"/>
              <w:rPr>
                <w:rFonts w:ascii="宋体" w:hAnsi="宋体"/>
                <w:b/>
                <w:kern w:val="0"/>
                <w:sz w:val="24"/>
                <w:szCs w:val="24"/>
              </w:rPr>
            </w:pPr>
            <w:r>
              <w:rPr>
                <w:rFonts w:hint="eastAsia" w:ascii="宋体" w:hAnsi="宋体"/>
                <w:b/>
                <w:kern w:val="0"/>
                <w:sz w:val="24"/>
                <w:szCs w:val="24"/>
              </w:rPr>
              <w:t>3</w:t>
            </w:r>
          </w:p>
        </w:tc>
        <w:tc>
          <w:tcPr>
            <w:tcW w:w="1770" w:type="dxa"/>
            <w:vAlign w:val="center"/>
          </w:tcPr>
          <w:p>
            <w:pPr>
              <w:jc w:val="center"/>
              <w:rPr>
                <w:rFonts w:ascii="宋体" w:hAnsi="宋体"/>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95" w:type="dxa"/>
            <w:vAlign w:val="center"/>
          </w:tcPr>
          <w:p>
            <w:pPr>
              <w:pStyle w:val="7"/>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0"/>
              <w:jc w:val="left"/>
              <w:rPr>
                <w:rFonts w:ascii="Courier New" w:hAnsi="Courier New" w:cs="Courier New"/>
                <w:b/>
                <w:color w:val="000000"/>
                <w:kern w:val="0"/>
                <w:sz w:val="24"/>
                <w:szCs w:val="24"/>
              </w:rPr>
            </w:pPr>
            <w:r>
              <w:rPr>
                <w:rFonts w:ascii="Courier New" w:hAnsi="Courier New" w:cs="Courier New"/>
                <w:b/>
                <w:color w:val="000000"/>
                <w:kern w:val="0"/>
                <w:sz w:val="24"/>
                <w:szCs w:val="24"/>
              </w:rPr>
              <w:t>以产业组织学说为基础的跨国经营理论</w:t>
            </w:r>
          </w:p>
          <w:p>
            <w:pPr>
              <w:jc w:val="center"/>
              <w:rPr>
                <w:rFonts w:ascii="宋体"/>
                <w:b/>
                <w:kern w:val="0"/>
                <w:sz w:val="24"/>
                <w:szCs w:val="24"/>
              </w:rPr>
            </w:pPr>
          </w:p>
        </w:tc>
        <w:tc>
          <w:tcPr>
            <w:tcW w:w="1155" w:type="dxa"/>
            <w:vAlign w:val="center"/>
          </w:tcPr>
          <w:p>
            <w:pPr>
              <w:jc w:val="center"/>
              <w:rPr>
                <w:rFonts w:ascii="宋体" w:hAnsi="宋体"/>
                <w:b/>
                <w:kern w:val="0"/>
                <w:sz w:val="24"/>
                <w:szCs w:val="24"/>
              </w:rPr>
            </w:pPr>
            <w:r>
              <w:rPr>
                <w:rFonts w:hint="eastAsia" w:ascii="宋体" w:hAnsi="宋体"/>
                <w:b/>
                <w:kern w:val="0"/>
                <w:sz w:val="24"/>
                <w:szCs w:val="24"/>
              </w:rPr>
              <w:t>3</w:t>
            </w:r>
          </w:p>
        </w:tc>
        <w:tc>
          <w:tcPr>
            <w:tcW w:w="1770" w:type="dxa"/>
            <w:vAlign w:val="center"/>
          </w:tcPr>
          <w:p>
            <w:pPr>
              <w:jc w:val="center"/>
              <w:rPr>
                <w:rFonts w:ascii="宋体" w:hAnsi="宋体"/>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pStyle w:val="7"/>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0"/>
              <w:jc w:val="left"/>
              <w:rPr>
                <w:rFonts w:ascii="Courier New" w:hAnsi="Courier New" w:cs="Courier New"/>
                <w:b/>
                <w:color w:val="000000"/>
                <w:kern w:val="0"/>
                <w:sz w:val="24"/>
                <w:szCs w:val="24"/>
              </w:rPr>
            </w:pPr>
            <w:r>
              <w:rPr>
                <w:rFonts w:ascii="Courier New" w:hAnsi="Courier New" w:cs="Courier New"/>
                <w:b/>
                <w:color w:val="000000"/>
                <w:kern w:val="0"/>
                <w:sz w:val="24"/>
                <w:szCs w:val="24"/>
              </w:rPr>
              <w:t>跨国公司新理论</w:t>
            </w:r>
          </w:p>
          <w:p>
            <w:pPr>
              <w:jc w:val="center"/>
              <w:rPr>
                <w:rFonts w:ascii="宋体"/>
                <w:b/>
                <w:kern w:val="0"/>
                <w:sz w:val="24"/>
                <w:szCs w:val="24"/>
              </w:rPr>
            </w:pPr>
          </w:p>
        </w:tc>
        <w:tc>
          <w:tcPr>
            <w:tcW w:w="1155" w:type="dxa"/>
            <w:vAlign w:val="center"/>
          </w:tcPr>
          <w:p>
            <w:pPr>
              <w:jc w:val="center"/>
              <w:rPr>
                <w:rFonts w:ascii="宋体" w:hAnsi="宋体"/>
                <w:b/>
                <w:kern w:val="0"/>
                <w:sz w:val="24"/>
                <w:szCs w:val="24"/>
              </w:rPr>
            </w:pPr>
            <w:r>
              <w:rPr>
                <w:rFonts w:hint="eastAsia" w:ascii="宋体" w:hAnsi="宋体"/>
                <w:b/>
                <w:kern w:val="0"/>
                <w:sz w:val="24"/>
                <w:szCs w:val="24"/>
              </w:rPr>
              <w:t>4</w:t>
            </w:r>
          </w:p>
        </w:tc>
        <w:tc>
          <w:tcPr>
            <w:tcW w:w="1770" w:type="dxa"/>
            <w:vAlign w:val="center"/>
          </w:tcPr>
          <w:p>
            <w:pPr>
              <w:jc w:val="center"/>
              <w:rPr>
                <w:rFonts w:ascii="宋体" w:hAnsi="宋体"/>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pStyle w:val="7"/>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hanging="720" w:firstLineChars="0"/>
              <w:jc w:val="left"/>
              <w:rPr>
                <w:rFonts w:ascii="Courier New" w:hAnsi="Courier New" w:cs="Courier New"/>
                <w:b/>
                <w:color w:val="000000"/>
                <w:kern w:val="0"/>
                <w:sz w:val="24"/>
                <w:szCs w:val="24"/>
              </w:rPr>
            </w:pPr>
            <w:r>
              <w:rPr>
                <w:rFonts w:ascii="Courier New" w:hAnsi="Courier New" w:cs="Courier New"/>
                <w:b/>
                <w:color w:val="000000"/>
                <w:kern w:val="0"/>
                <w:sz w:val="24"/>
                <w:szCs w:val="24"/>
              </w:rPr>
              <w:t>跨国公司与兼并收购与战略联盟</w:t>
            </w:r>
          </w:p>
        </w:tc>
        <w:tc>
          <w:tcPr>
            <w:tcW w:w="1155" w:type="dxa"/>
            <w:vAlign w:val="center"/>
          </w:tcPr>
          <w:p>
            <w:pPr>
              <w:jc w:val="center"/>
              <w:rPr>
                <w:rFonts w:ascii="宋体" w:hAnsi="宋体"/>
                <w:b/>
                <w:kern w:val="0"/>
                <w:sz w:val="24"/>
                <w:szCs w:val="24"/>
              </w:rPr>
            </w:pPr>
            <w:r>
              <w:rPr>
                <w:rFonts w:hint="eastAsia" w:ascii="宋体" w:hAnsi="宋体"/>
                <w:b/>
                <w:kern w:val="0"/>
                <w:sz w:val="24"/>
                <w:szCs w:val="24"/>
              </w:rPr>
              <w:t>3</w:t>
            </w:r>
          </w:p>
        </w:tc>
        <w:tc>
          <w:tcPr>
            <w:tcW w:w="1770" w:type="dxa"/>
            <w:vAlign w:val="center"/>
          </w:tcPr>
          <w:p>
            <w:pPr>
              <w:jc w:val="center"/>
              <w:rPr>
                <w:rFonts w:ascii="宋体" w:hAnsi="宋体"/>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pStyle w:val="7"/>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0"/>
              <w:jc w:val="left"/>
              <w:rPr>
                <w:rFonts w:ascii="Courier New" w:hAnsi="Courier New" w:cs="Courier New"/>
                <w:b/>
                <w:color w:val="000000"/>
                <w:kern w:val="0"/>
                <w:sz w:val="24"/>
                <w:szCs w:val="24"/>
              </w:rPr>
            </w:pPr>
            <w:r>
              <w:rPr>
                <w:rFonts w:ascii="Courier New" w:hAnsi="Courier New" w:cs="Courier New"/>
                <w:b/>
                <w:color w:val="000000"/>
                <w:kern w:val="0"/>
                <w:sz w:val="24"/>
                <w:szCs w:val="24"/>
              </w:rPr>
              <w:t>跨国公司内部贸易与转移价格</w:t>
            </w:r>
          </w:p>
        </w:tc>
        <w:tc>
          <w:tcPr>
            <w:tcW w:w="1155" w:type="dxa"/>
            <w:vAlign w:val="center"/>
          </w:tcPr>
          <w:p>
            <w:pPr>
              <w:jc w:val="center"/>
              <w:rPr>
                <w:rFonts w:ascii="宋体" w:hAnsi="宋体"/>
                <w:b/>
                <w:kern w:val="0"/>
                <w:sz w:val="24"/>
                <w:szCs w:val="24"/>
              </w:rPr>
            </w:pPr>
            <w:r>
              <w:rPr>
                <w:rFonts w:hint="eastAsia" w:ascii="宋体" w:hAnsi="宋体"/>
                <w:b/>
                <w:kern w:val="0"/>
                <w:sz w:val="24"/>
                <w:szCs w:val="24"/>
              </w:rPr>
              <w:t>4</w:t>
            </w:r>
          </w:p>
        </w:tc>
        <w:tc>
          <w:tcPr>
            <w:tcW w:w="1770" w:type="dxa"/>
            <w:vAlign w:val="center"/>
          </w:tcPr>
          <w:p>
            <w:pPr>
              <w:jc w:val="center"/>
              <w:rPr>
                <w:rFonts w:ascii="宋体" w:hAnsi="宋体"/>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pStyle w:val="7"/>
              <w:widowControl/>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Chars="0"/>
              <w:jc w:val="left"/>
              <w:rPr>
                <w:rFonts w:ascii="Courier New" w:hAnsi="Courier New" w:cs="Courier New"/>
                <w:b/>
                <w:color w:val="000000"/>
                <w:kern w:val="0"/>
                <w:sz w:val="24"/>
                <w:szCs w:val="24"/>
              </w:rPr>
            </w:pPr>
            <w:r>
              <w:rPr>
                <w:rFonts w:ascii="Courier New" w:hAnsi="Courier New" w:cs="Courier New"/>
                <w:b/>
                <w:color w:val="000000"/>
                <w:kern w:val="0"/>
                <w:sz w:val="24"/>
                <w:szCs w:val="24"/>
              </w:rPr>
              <w:t>跨国公司经营风险与管理</w:t>
            </w:r>
          </w:p>
        </w:tc>
        <w:tc>
          <w:tcPr>
            <w:tcW w:w="1155" w:type="dxa"/>
            <w:vAlign w:val="center"/>
          </w:tcPr>
          <w:p>
            <w:pPr>
              <w:jc w:val="center"/>
              <w:rPr>
                <w:rFonts w:ascii="宋体" w:hAnsi="宋体"/>
                <w:b/>
                <w:kern w:val="0"/>
                <w:sz w:val="24"/>
                <w:szCs w:val="24"/>
              </w:rPr>
            </w:pPr>
            <w:r>
              <w:rPr>
                <w:rFonts w:hint="eastAsia" w:ascii="宋体" w:hAnsi="宋体"/>
                <w:b/>
                <w:kern w:val="0"/>
                <w:sz w:val="24"/>
                <w:szCs w:val="24"/>
              </w:rPr>
              <w:t>3</w:t>
            </w:r>
          </w:p>
        </w:tc>
        <w:tc>
          <w:tcPr>
            <w:tcW w:w="1770" w:type="dxa"/>
            <w:vAlign w:val="center"/>
          </w:tcPr>
          <w:p>
            <w:pPr>
              <w:jc w:val="center"/>
              <w:rPr>
                <w:rFonts w:ascii="宋体" w:hAnsi="宋体"/>
                <w:b/>
                <w:kern w:val="0"/>
                <w:sz w:val="24"/>
                <w:szCs w:val="24"/>
              </w:rPr>
            </w:pPr>
          </w:p>
        </w:tc>
      </w:tr>
    </w:tbl>
    <w:p>
      <w:pPr>
        <w:widowControl/>
        <w:spacing w:before="100" w:beforeAutospacing="1" w:after="100" w:afterAutospacing="1" w:line="360" w:lineRule="exact"/>
        <w:ind w:left="2949" w:hanging="2949" w:hangingChars="1224"/>
        <w:jc w:val="left"/>
        <w:rPr>
          <w:rFonts w:ascii="宋体" w:cs="宋体"/>
          <w:b/>
          <w:bCs/>
          <w:kern w:val="0"/>
          <w:sz w:val="24"/>
        </w:rPr>
      </w:pPr>
      <w:r>
        <w:rPr>
          <w:rFonts w:hint="eastAsia" w:ascii="宋体" w:hAnsi="宋体" w:cs="宋体"/>
          <w:b/>
          <w:bCs/>
          <w:kern w:val="0"/>
          <w:sz w:val="24"/>
        </w:rPr>
        <w:t>五、课程考核及成绩评定</w:t>
      </w:r>
    </w:p>
    <w:p>
      <w:pPr>
        <w:widowControl w:val="0"/>
        <w:wordWrap/>
        <w:adjustRightInd/>
        <w:snapToGrid/>
        <w:spacing w:before="0" w:after="0" w:line="440" w:lineRule="exact"/>
        <w:ind w:left="0" w:leftChars="0" w:right="0" w:firstLine="420" w:firstLineChars="200"/>
        <w:jc w:val="both"/>
        <w:textAlignment w:val="auto"/>
        <w:outlineLvl w:val="9"/>
      </w:pPr>
      <w:r>
        <w:rPr>
          <w:rFonts w:hint="eastAsia"/>
        </w:rPr>
        <w:t>本课程考核为闭卷考试；成绩评定：考试成绩实行百分制，其中基础知识测试题的分值在</w:t>
      </w:r>
      <w:r>
        <w:t>40</w:t>
      </w:r>
      <w:r>
        <w:rPr>
          <w:rFonts w:hint="eastAsia"/>
        </w:rPr>
        <w:t>分；综合能力测试题的分值在</w:t>
      </w:r>
      <w:r>
        <w:t>60</w:t>
      </w:r>
      <w:r>
        <w:rPr>
          <w:rFonts w:hint="eastAsia"/>
        </w:rPr>
        <w:t>分。</w:t>
      </w:r>
    </w:p>
    <w:p>
      <w:pPr>
        <w:widowControl/>
        <w:spacing w:before="100" w:beforeAutospacing="1" w:after="100" w:afterAutospacing="1" w:line="360" w:lineRule="exact"/>
        <w:ind w:left="2949" w:hanging="2949" w:hangingChars="1224"/>
        <w:jc w:val="left"/>
        <w:rPr>
          <w:rFonts w:ascii="宋体" w:hAnsi="宋体" w:cs="宋体"/>
          <w:b/>
          <w:bCs/>
          <w:kern w:val="0"/>
          <w:sz w:val="24"/>
        </w:rPr>
      </w:pPr>
      <w:r>
        <w:rPr>
          <w:rFonts w:hint="eastAsia" w:ascii="宋体" w:hAnsi="宋体" w:cs="宋体"/>
          <w:b/>
          <w:bCs/>
          <w:kern w:val="0"/>
          <w:sz w:val="24"/>
        </w:rPr>
        <w:t>六、推荐教材和</w:t>
      </w:r>
      <w:r>
        <w:rPr>
          <w:rFonts w:hint="eastAsia" w:ascii="宋体" w:hAnsi="宋体" w:cs="宋体"/>
          <w:b/>
          <w:bCs/>
          <w:kern w:val="0"/>
          <w:sz w:val="24"/>
          <w:lang w:eastAsia="zh-CN"/>
        </w:rPr>
        <w:t>学习</w:t>
      </w:r>
      <w:r>
        <w:rPr>
          <w:rFonts w:hint="eastAsia" w:ascii="宋体" w:hAnsi="宋体" w:cs="宋体"/>
          <w:b/>
          <w:bCs/>
          <w:kern w:val="0"/>
          <w:sz w:val="24"/>
        </w:rPr>
        <w:t>参考书</w:t>
      </w:r>
      <w:r>
        <w:rPr>
          <w:rFonts w:ascii="宋体" w:hAnsi="宋体" w:cs="宋体"/>
          <w:b/>
          <w:bCs/>
          <w:kern w:val="0"/>
          <w:sz w:val="24"/>
        </w:rPr>
        <w:t xml:space="preserve"> </w:t>
      </w:r>
    </w:p>
    <w:tbl>
      <w:tblPr>
        <w:tblStyle w:val="6"/>
        <w:tblW w:w="7091" w:type="dxa"/>
        <w:jc w:val="center"/>
        <w:tblInd w:w="2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rPr>
              <w:t>推荐教程</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r>
              <w:rPr>
                <w:rFonts w:hint="eastAsia" w:ascii="宋体" w:hAnsi="宋体"/>
                <w:kern w:val="0"/>
                <w:szCs w:val="21"/>
              </w:rPr>
              <w:t>《跨国经营理论与实务》</w:t>
            </w:r>
          </w:p>
        </w:tc>
        <w:tc>
          <w:tcPr>
            <w:tcW w:w="1893" w:type="dxa"/>
            <w:vAlign w:val="center"/>
          </w:tcPr>
          <w:p>
            <w:pPr>
              <w:widowControl/>
              <w:jc w:val="center"/>
              <w:rPr>
                <w:rFonts w:ascii="宋体"/>
                <w:kern w:val="0"/>
                <w:szCs w:val="21"/>
              </w:rPr>
            </w:pPr>
            <w:r>
              <w:rPr>
                <w:rFonts w:hint="eastAsia" w:ascii="宋体" w:hAnsi="宋体"/>
                <w:kern w:val="0"/>
                <w:szCs w:val="21"/>
              </w:rPr>
              <w:t>毕红毅</w:t>
            </w:r>
          </w:p>
        </w:tc>
        <w:tc>
          <w:tcPr>
            <w:tcW w:w="2787" w:type="dxa"/>
            <w:vAlign w:val="center"/>
          </w:tcPr>
          <w:p>
            <w:pPr>
              <w:widowControl/>
              <w:jc w:val="left"/>
              <w:rPr>
                <w:rFonts w:ascii="宋体" w:hAnsi="宋体"/>
                <w:kern w:val="0"/>
                <w:szCs w:val="21"/>
              </w:rPr>
            </w:pPr>
            <w:r>
              <w:rPr>
                <w:rFonts w:hint="eastAsia" w:ascii="宋体" w:hAnsi="宋体"/>
                <w:kern w:val="0"/>
                <w:szCs w:val="21"/>
              </w:rPr>
              <w:t>经济科学出版社，2011年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lang w:eastAsia="zh-CN"/>
              </w:rPr>
              <w:t>学习</w:t>
            </w:r>
            <w:r>
              <w:rPr>
                <w:rFonts w:hint="eastAsia" w:ascii="宋体" w:hAnsi="宋体"/>
                <w:b/>
                <w:kern w:val="0"/>
                <w:szCs w:val="21"/>
              </w:rPr>
              <w:t>参考书</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hAnsi="宋体"/>
                <w:kern w:val="0"/>
                <w:szCs w:val="21"/>
              </w:rPr>
              <w:t>跨国经营理论与实务</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hAnsi="宋体"/>
                <w:kern w:val="0"/>
                <w:szCs w:val="21"/>
              </w:rPr>
              <w:t>王林生</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kern w:val="0"/>
                <w:szCs w:val="21"/>
              </w:rPr>
              <w:t>对外经贸大学出版社，</w:t>
            </w:r>
            <w:r>
              <w:rPr>
                <w:rFonts w:ascii="宋体" w:hAnsi="宋体"/>
                <w:kern w:val="0"/>
                <w:szCs w:val="21"/>
              </w:rPr>
              <w:t>199</w:t>
            </w:r>
            <w:r>
              <w:rPr>
                <w:rFonts w:hint="eastAsia" w:ascii="宋体" w:hAnsi="宋体"/>
                <w:kern w:val="0"/>
                <w:szCs w:val="21"/>
              </w:rPr>
              <w:t>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hAnsi="宋体"/>
                <w:kern w:val="0"/>
                <w:szCs w:val="21"/>
              </w:rPr>
              <w:t>跨国经营理论与实务</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hAnsi="宋体"/>
                <w:kern w:val="0"/>
                <w:szCs w:val="21"/>
              </w:rPr>
              <w:t>范黎波</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kern w:val="0"/>
                <w:szCs w:val="21"/>
              </w:rPr>
              <w:t>北京师范大学出版集团，</w:t>
            </w:r>
            <w:r>
              <w:rPr>
                <w:rFonts w:ascii="宋体" w:hAnsi="宋体"/>
                <w:kern w:val="0"/>
                <w:szCs w:val="21"/>
              </w:rPr>
              <w:t>2009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hAnsi="宋体"/>
                <w:kern w:val="0"/>
                <w:szCs w:val="21"/>
              </w:rPr>
              <w:t>跨国经营管理案例</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hAnsi="宋体"/>
                <w:kern w:val="0"/>
                <w:szCs w:val="21"/>
              </w:rPr>
              <w:t>郭伟等</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kern w:val="0"/>
                <w:szCs w:val="21"/>
              </w:rPr>
              <w:t>复旦大学出版社，2011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r>
              <w:rPr>
                <w:rFonts w:hint="eastAsia" w:ascii="宋体" w:hAnsi="宋体"/>
                <w:kern w:val="0"/>
                <w:szCs w:val="21"/>
              </w:rPr>
              <w:t>中国企业跨国经营</w:t>
            </w:r>
            <w:r>
              <w:rPr>
                <w:rFonts w:ascii="宋体" w:hAnsi="宋体"/>
                <w:kern w:val="0"/>
                <w:szCs w:val="21"/>
              </w:rPr>
              <w:t>—</w:t>
            </w:r>
            <w:r>
              <w:rPr>
                <w:rFonts w:hint="eastAsia" w:ascii="宋体" w:hAnsi="宋体"/>
                <w:kern w:val="0"/>
                <w:szCs w:val="21"/>
              </w:rPr>
              <w:t>理论案例与实操方案</w:t>
            </w:r>
          </w:p>
        </w:tc>
        <w:tc>
          <w:tcPr>
            <w:tcW w:w="1893" w:type="dxa"/>
            <w:vAlign w:val="center"/>
          </w:tcPr>
          <w:p>
            <w:pPr>
              <w:widowControl/>
              <w:spacing w:before="100" w:beforeAutospacing="1" w:after="100" w:afterAutospacing="1" w:line="360" w:lineRule="exact"/>
              <w:jc w:val="center"/>
              <w:rPr>
                <w:rFonts w:ascii="宋体"/>
                <w:kern w:val="0"/>
                <w:szCs w:val="21"/>
              </w:rPr>
            </w:pPr>
            <w:r>
              <w:rPr>
                <w:rFonts w:hint="eastAsia" w:ascii="宋体" w:hAnsi="宋体"/>
                <w:kern w:val="0"/>
                <w:szCs w:val="21"/>
              </w:rPr>
              <w:t>孙小炎</w:t>
            </w:r>
          </w:p>
        </w:tc>
        <w:tc>
          <w:tcPr>
            <w:tcW w:w="2787" w:type="dxa"/>
            <w:vAlign w:val="center"/>
          </w:tcPr>
          <w:p>
            <w:pPr>
              <w:widowControl/>
              <w:spacing w:before="100" w:beforeAutospacing="1" w:after="100" w:afterAutospacing="1" w:line="360" w:lineRule="exact"/>
              <w:rPr>
                <w:rFonts w:ascii="宋体" w:hAnsi="宋体"/>
                <w:kern w:val="0"/>
                <w:szCs w:val="21"/>
              </w:rPr>
            </w:pPr>
            <w:r>
              <w:rPr>
                <w:rFonts w:hint="eastAsia" w:ascii="宋体" w:hAnsi="宋体"/>
                <w:kern w:val="0"/>
                <w:szCs w:val="21"/>
              </w:rPr>
              <w:t>机械工业出版社，2008</w:t>
            </w:r>
          </w:p>
        </w:tc>
      </w:tr>
    </w:tbl>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Pr>
        <w:widowControl w:val="0"/>
        <w:wordWrap/>
        <w:adjustRightInd/>
        <w:snapToGrid/>
        <w:spacing w:before="100" w:beforeAutospacing="1" w:after="100" w:afterAutospacing="1" w:line="240" w:lineRule="auto"/>
        <w:ind w:left="0" w:leftChars="0" w:right="0" w:firstLine="0" w:firstLineChars="0"/>
        <w:jc w:val="both"/>
        <w:textAlignment w:val="auto"/>
        <w:outlineLvl w:val="9"/>
        <w:rPr>
          <w:rFonts w:ascii="黑体" w:eastAsia="黑体"/>
          <w:b/>
          <w:sz w:val="24"/>
        </w:rPr>
      </w:pPr>
      <w:r>
        <w:rPr>
          <w:rFonts w:hint="eastAsia"/>
          <w:b/>
          <w:sz w:val="24"/>
        </w:rPr>
        <w:t>七、</w:t>
      </w:r>
      <w:r>
        <w:rPr>
          <w:rFonts w:hint="eastAsia"/>
          <w:b/>
          <w:sz w:val="24"/>
          <w:lang w:eastAsia="zh-CN"/>
        </w:rPr>
        <w:t>学习</w:t>
      </w:r>
      <w:r>
        <w:rPr>
          <w:rFonts w:hint="eastAsia"/>
          <w:b/>
          <w:sz w:val="24"/>
        </w:rPr>
        <w:t>具体内容和要求</w:t>
      </w:r>
    </w:p>
    <w:p>
      <w:pPr>
        <w:pStyle w:val="7"/>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firstLineChars="0"/>
        <w:jc w:val="center"/>
        <w:rPr>
          <w:rFonts w:ascii="Courier New" w:hAnsi="Courier New" w:cs="Courier New"/>
          <w:b/>
          <w:color w:val="000000"/>
          <w:kern w:val="0"/>
          <w:sz w:val="28"/>
          <w:szCs w:val="28"/>
        </w:rPr>
      </w:pPr>
      <w:r>
        <w:rPr>
          <w:rFonts w:hint="eastAsia" w:ascii="Courier New" w:hAnsi="Courier New" w:cs="Courier New"/>
          <w:b/>
          <w:color w:val="000000"/>
          <w:kern w:val="0"/>
          <w:sz w:val="24"/>
          <w:szCs w:val="24"/>
        </w:rPr>
        <w:t xml:space="preserve">第一章  </w:t>
      </w:r>
      <w:r>
        <w:rPr>
          <w:rFonts w:ascii="Courier New" w:hAnsi="Courier New" w:cs="Courier New"/>
          <w:b/>
          <w:color w:val="000000"/>
          <w:kern w:val="0"/>
          <w:sz w:val="24"/>
          <w:szCs w:val="24"/>
        </w:rPr>
        <w:t>跨国公司概论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8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了解：跨国公司的定义</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8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理解：跨国公司的产生和特征</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8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掌握：跨国公司在世界经济中的地位与影响</w:t>
      </w:r>
    </w:p>
    <w:p>
      <w:pPr>
        <w:pStyle w:val="7"/>
        <w:widowControl/>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跨国公司的定义</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知识点：结构标准下的定义</w:t>
      </w:r>
      <w:r>
        <w:rPr>
          <w:rFonts w:hint="eastAsia" w:ascii="Courier New" w:hAnsi="Courier New" w:cs="Courier New"/>
          <w:color w:val="000000"/>
          <w:kern w:val="0"/>
          <w:sz w:val="21"/>
        </w:rPr>
        <w:t xml:space="preserve"> </w:t>
      </w:r>
      <w:r>
        <w:rPr>
          <w:rFonts w:ascii="Courier New" w:hAnsi="Courier New" w:cs="Courier New"/>
          <w:color w:val="000000"/>
          <w:kern w:val="0"/>
          <w:sz w:val="21"/>
        </w:rPr>
        <w:t>经营业绩标准下的定义</w:t>
      </w:r>
    </w:p>
    <w:p>
      <w:pPr>
        <w:pStyle w:val="7"/>
        <w:widowControl/>
        <w:numPr>
          <w:ilvl w:val="0"/>
          <w:numId w:val="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跨国公司的产生和发展趋势</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知识点：跨国公司的产生；跨国公司的行业发展特点；主体趋势；产业趋势</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第三节跨国公司在世界经济中的地位与影响</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知识点：跨国公司与经济全球化；跨国公司与产业国际化；跨国公司与国家竞争力</w:t>
      </w:r>
    </w:p>
    <w:p>
      <w:pPr>
        <w:pStyle w:val="7"/>
        <w:widowControl/>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100" w:beforeAutospacing="1" w:after="100" w:afterAutospacing="1" w:line="440" w:lineRule="exact"/>
        <w:ind w:left="765" w:leftChars="0" w:right="0" w:hanging="765" w:firstLineChars="0"/>
        <w:jc w:val="center"/>
        <w:textAlignment w:val="auto"/>
        <w:outlineLvl w:val="9"/>
        <w:rPr>
          <w:rFonts w:ascii="Courier New" w:hAnsi="Courier New" w:cs="Courier New"/>
          <w:b/>
          <w:color w:val="000000"/>
          <w:kern w:val="0"/>
          <w:sz w:val="24"/>
          <w:szCs w:val="24"/>
        </w:rPr>
      </w:pPr>
      <w:r>
        <w:rPr>
          <w:rFonts w:ascii="Courier New" w:hAnsi="Courier New" w:cs="Courier New"/>
          <w:b/>
          <w:color w:val="000000"/>
          <w:kern w:val="0"/>
          <w:sz w:val="24"/>
          <w:szCs w:val="24"/>
        </w:rPr>
        <w:t>跨国公司经营环境</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了解：国际环境和东道国环境</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理解：环境的不确定性分析</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掌握：跨国经营环境评估方法</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hint="eastAsia" w:ascii="Courier New" w:hAnsi="Courier New" w:cs="Courier New"/>
          <w:b/>
          <w:color w:val="000000"/>
          <w:kern w:val="0"/>
          <w:sz w:val="21"/>
        </w:rPr>
        <w:t xml:space="preserve"> </w:t>
      </w:r>
      <w:r>
        <w:rPr>
          <w:rFonts w:ascii="Courier New" w:hAnsi="Courier New" w:cs="Courier New"/>
          <w:b/>
          <w:color w:val="000000"/>
          <w:kern w:val="0"/>
          <w:sz w:val="21"/>
        </w:rPr>
        <w:t>国际环境</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知识点：国际法律环境；国际金融环境；国际经济组织环境</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hint="eastAsia" w:ascii="Courier New" w:hAnsi="Courier New" w:cs="Courier New"/>
          <w:b/>
          <w:color w:val="000000"/>
          <w:kern w:val="0"/>
          <w:sz w:val="21"/>
        </w:rPr>
        <w:t xml:space="preserve"> </w:t>
      </w:r>
      <w:r>
        <w:rPr>
          <w:rFonts w:ascii="Courier New" w:hAnsi="Courier New" w:cs="Courier New"/>
          <w:b/>
          <w:color w:val="000000"/>
          <w:kern w:val="0"/>
          <w:sz w:val="21"/>
        </w:rPr>
        <w:t>东道国环境</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知识点：东道国宏观环境；环境的不确定性分析；东道国微观环境</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跨国企业经营环境评估方法</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知识点：SWOT矩阵；SPAE矩阵；国外投资环境的其他评估方法</w:t>
      </w:r>
    </w:p>
    <w:p>
      <w:pPr>
        <w:pStyle w:val="7"/>
        <w:widowControl/>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100" w:beforeAutospacing="1" w:after="100" w:afterAutospacing="1" w:line="440" w:lineRule="exact"/>
        <w:ind w:left="765" w:leftChars="0" w:right="0" w:hanging="765" w:firstLineChars="0"/>
        <w:jc w:val="center"/>
        <w:textAlignment w:val="auto"/>
        <w:outlineLvl w:val="9"/>
        <w:rPr>
          <w:rFonts w:ascii="Courier New" w:hAnsi="Courier New" w:cs="Courier New"/>
          <w:b/>
          <w:color w:val="000000"/>
          <w:kern w:val="0"/>
          <w:sz w:val="21"/>
          <w:szCs w:val="28"/>
        </w:rPr>
      </w:pPr>
      <w:r>
        <w:rPr>
          <w:rFonts w:ascii="Courier New" w:hAnsi="Courier New" w:cs="Courier New"/>
          <w:b/>
          <w:color w:val="000000"/>
          <w:kern w:val="0"/>
          <w:sz w:val="21"/>
          <w:szCs w:val="28"/>
        </w:rPr>
        <w:t>跨国进入决策与经济效应</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了解：跨国公司进入国外市场的方式</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理解：跨国进入的分析模型</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掌握：跨国进入的定量分析；跨国进入的经济效应</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第一节跨国公司进入外国市场的方式</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知识点：出口；许可证贸易；对外证券投资；对外直接投资；其他进入方式</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跨国进入方式决策</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0" w:leftChars="0" w:right="0" w:firstLine="298" w:firstLineChars="142"/>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知识点：跨国进入的分析模型；跨国进入的定量分析；跨国进入方式与控制；对进入模型的实证分析</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跨国进入的经济效应</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0" w:leftChars="0" w:right="0" w:firstLine="420" w:firstLineChars="200"/>
        <w:jc w:val="left"/>
        <w:textAlignment w:val="auto"/>
        <w:outlineLvl w:val="9"/>
        <w:rPr>
          <w:rFonts w:hint="eastAsia" w:ascii="Courier New" w:hAnsi="Courier New" w:cs="Courier New"/>
          <w:color w:val="000000"/>
          <w:kern w:val="0"/>
          <w:sz w:val="21"/>
        </w:rPr>
      </w:pPr>
      <w:r>
        <w:rPr>
          <w:rFonts w:ascii="Courier New" w:hAnsi="Courier New" w:cs="Courier New"/>
          <w:color w:val="000000"/>
          <w:kern w:val="0"/>
          <w:sz w:val="21"/>
        </w:rPr>
        <w:t>知识点：跨国进入的资本形成效应；跨国进入的就业效应；跨国进入的竞争效应；跨国进入的技术扩散效应；跨国进入的产业转移效应</w:t>
      </w:r>
    </w:p>
    <w:p>
      <w:pPr>
        <w:pStyle w:val="7"/>
        <w:widowControl/>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100" w:beforeAutospacing="1" w:after="100" w:afterAutospacing="1" w:line="440" w:lineRule="exact"/>
        <w:ind w:left="765" w:leftChars="0" w:right="0" w:hanging="765" w:firstLineChars="0"/>
        <w:jc w:val="center"/>
        <w:textAlignment w:val="auto"/>
        <w:outlineLvl w:val="9"/>
        <w:rPr>
          <w:rFonts w:hint="eastAsia" w:ascii="Courier New" w:hAnsi="Courier New" w:cs="Courier New"/>
          <w:b/>
          <w:color w:val="000000"/>
          <w:kern w:val="0"/>
          <w:sz w:val="21"/>
          <w:szCs w:val="28"/>
        </w:rPr>
      </w:pPr>
      <w:r>
        <w:rPr>
          <w:rFonts w:ascii="Courier New" w:hAnsi="Courier New" w:cs="Courier New"/>
          <w:b/>
          <w:color w:val="000000"/>
          <w:kern w:val="0"/>
          <w:sz w:val="21"/>
          <w:szCs w:val="28"/>
        </w:rPr>
        <w:t>跨国公司的法律形式和组织结构控制</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了解：企业的法律形式</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理解：跨国公司的主要利益相关者；跨国公司治理方式的超国家性；跨国公司常用的组织结构及控制</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kern w:val="0"/>
          <w:sz w:val="21"/>
        </w:rPr>
      </w:pPr>
      <w:r>
        <w:rPr>
          <w:rFonts w:ascii="Courier New" w:hAnsi="Courier New" w:cs="Courier New"/>
          <w:color w:val="000000"/>
          <w:kern w:val="0"/>
          <w:sz w:val="21"/>
        </w:rPr>
        <w:t>掌握：母公司、分公司、子公司；跨国公司控制合资企业方式</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企业的法律形式</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知识点：个人企业；合伙；公司</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跨国公司的法律形式和治理方式</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知识点：母公司、分公司、子公司、避税地公司；跨国公司的主要利益相关者；跨国公司治理方式的超国家性</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跨国公司控制合资企业方式</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知识点：跨国公司对合资企业的股权控制；跨国公司对合资企业的组织控制；跨国公司对合资企业的知识控制；跨国公司如何实现对我国企业的股权控制</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跨国公司常用的组织结构及控制</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知识点：早期的集中控制；分权倾向；网络化趋势</w:t>
      </w:r>
    </w:p>
    <w:p>
      <w:pPr>
        <w:pStyle w:val="7"/>
        <w:widowControl/>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100" w:beforeAutospacing="1" w:after="100" w:afterAutospacing="1" w:line="440" w:lineRule="exact"/>
        <w:ind w:left="765" w:leftChars="0" w:right="0" w:hanging="765" w:firstLineChars="0"/>
        <w:jc w:val="center"/>
        <w:textAlignment w:val="auto"/>
        <w:outlineLvl w:val="9"/>
        <w:rPr>
          <w:rFonts w:ascii="Courier New" w:hAnsi="Courier New" w:cs="Courier New"/>
          <w:b/>
          <w:color w:val="000000"/>
          <w:kern w:val="0"/>
          <w:sz w:val="21"/>
          <w:szCs w:val="28"/>
        </w:rPr>
      </w:pPr>
      <w:r>
        <w:rPr>
          <w:rFonts w:ascii="Courier New" w:hAnsi="Courier New" w:cs="Courier New"/>
          <w:b/>
          <w:color w:val="000000"/>
          <w:kern w:val="0"/>
          <w:sz w:val="21"/>
          <w:szCs w:val="28"/>
        </w:rPr>
        <w:t>以国际贸易学说为基础的跨国经营理论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了解：古典的比较优势理论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理解：动态的比较优势理论；通货区域论；小岛清理论的政策含义</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掌握：产品生命周期理论；小岛清模式的主要内容；日本式对外直接投资的特点</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hint="eastAsia" w:ascii="Courier New" w:hAnsi="Courier New" w:cs="Courier New"/>
          <w:b/>
          <w:color w:val="000000"/>
          <w:kern w:val="0"/>
          <w:sz w:val="21"/>
        </w:rPr>
        <w:t xml:space="preserve"> </w:t>
      </w:r>
      <w:r>
        <w:rPr>
          <w:rFonts w:ascii="Courier New" w:hAnsi="Courier New" w:cs="Courier New"/>
          <w:b/>
          <w:color w:val="000000"/>
          <w:kern w:val="0"/>
          <w:sz w:val="21"/>
        </w:rPr>
        <w:t>比较优势理论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知识点：古典的比较优势理论；动态的比较优势理论；通货区域论</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产品生命周期理论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知识点：产品生命周期模型</w:t>
      </w:r>
      <w:r>
        <w:rPr>
          <w:rFonts w:hint="eastAsia" w:ascii="宋体" w:hAnsi="宋体" w:cs="宋体"/>
          <w:color w:val="000000"/>
          <w:kern w:val="0"/>
          <w:sz w:val="21"/>
        </w:rPr>
        <w:t>Ⅰ</w:t>
      </w:r>
      <w:r>
        <w:rPr>
          <w:rFonts w:ascii="Courier New" w:hAnsi="Courier New" w:cs="Courier New"/>
          <w:color w:val="000000"/>
          <w:kern w:val="0"/>
          <w:sz w:val="21"/>
        </w:rPr>
        <w:t>；理论评价；模型修正：产品生命周期模型</w:t>
      </w:r>
      <w:r>
        <w:rPr>
          <w:rFonts w:hint="eastAsia" w:ascii="宋体" w:hAnsi="宋体" w:cs="宋体"/>
          <w:color w:val="000000"/>
          <w:kern w:val="0"/>
          <w:sz w:val="21"/>
        </w:rPr>
        <w:t>Ⅱ</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边际产业投资论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知识点：理论的提出；小岛清模式的主要内容；日本式对外直接投资的特点；小岛清理论的政策含义</w:t>
      </w:r>
    </w:p>
    <w:p>
      <w:pPr>
        <w:pStyle w:val="7"/>
        <w:widowControl/>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100" w:beforeAutospacing="1" w:after="100" w:afterAutospacing="1" w:line="440" w:lineRule="exact"/>
        <w:ind w:left="765" w:leftChars="0" w:right="0" w:hanging="765" w:firstLineChars="0"/>
        <w:jc w:val="center"/>
        <w:textAlignment w:val="auto"/>
        <w:outlineLvl w:val="9"/>
        <w:rPr>
          <w:rFonts w:ascii="Courier New" w:hAnsi="Courier New" w:cs="Courier New"/>
          <w:b/>
          <w:color w:val="000000"/>
          <w:kern w:val="0"/>
          <w:sz w:val="21"/>
          <w:szCs w:val="28"/>
        </w:rPr>
      </w:pPr>
      <w:r>
        <w:rPr>
          <w:rFonts w:ascii="Courier New" w:hAnsi="Courier New" w:cs="Courier New"/>
          <w:b/>
          <w:color w:val="000000"/>
          <w:kern w:val="0"/>
          <w:sz w:val="21"/>
          <w:szCs w:val="28"/>
        </w:rPr>
        <w:t>以产业组织学说为基础的跨国经营理论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了解：垄断优势论理论的提出；内部化理论的提出与起源；对内部化理论的评价</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理解：垄断优势论的发展；内部化的特点和评价；国际生产折衷理论的产生</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掌握：垄断优势论理论的主要内容；内部化理论的主要内容；内部化理论与垄断优势论的比较；国际生产折衷理论的主要内容</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垄断优势论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知识点：理论的提出与主要内容；跨国公司垄断优势的表现；垄断优势论的发展；结合我国企业谈企业垄断优势的表现</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内部化理论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知识点：理论的提出与起源；理论的主要内容；内部化的特点和评价</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第三节国际生产折衷理论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知识点：理论的产生；主要内容；理论特点</w:t>
      </w:r>
    </w:p>
    <w:p>
      <w:pPr>
        <w:pStyle w:val="7"/>
        <w:widowControl/>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100" w:beforeAutospacing="1" w:after="100" w:afterAutospacing="1" w:line="440" w:lineRule="exact"/>
        <w:ind w:left="765" w:leftChars="0" w:right="0" w:hanging="765" w:firstLineChars="0"/>
        <w:jc w:val="center"/>
        <w:textAlignment w:val="auto"/>
        <w:outlineLvl w:val="9"/>
        <w:rPr>
          <w:rFonts w:ascii="Courier New" w:hAnsi="Courier New" w:cs="Courier New"/>
          <w:b/>
          <w:color w:val="000000"/>
          <w:kern w:val="0"/>
          <w:sz w:val="21"/>
          <w:szCs w:val="28"/>
        </w:rPr>
      </w:pPr>
      <w:r>
        <w:rPr>
          <w:rFonts w:ascii="Courier New" w:hAnsi="Courier New" w:cs="Courier New"/>
          <w:b/>
          <w:color w:val="000000"/>
          <w:kern w:val="0"/>
          <w:sz w:val="21"/>
          <w:szCs w:val="28"/>
        </w:rPr>
        <w:t>跨国公司新理论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了解：子公司特定优势理论的产生；子公司战略模型的提出；发展中国家和地区的国际投资理论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理解：子公司特定优势理论的评价；邓宁的海外子公司理论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掌握：子公司特定优势理论的内容；巴特利特和戈夏尔的子公司战略模型的运用；邓宁的投资发展阶段论；威尔斯的小规模技术理论；拉奥的地方化理论</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子公司特定优势理论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知识点：谬尔和希勒的子公司特定优势；巴特利特和戈夏尔的子公司战略模型；邓宁的海外子公司理论</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发展中国家和地区的国际投资理论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知识点：邓宁的投资发展阶段论；威尔斯的小规模技术理论；拉奥的地方化理论</w:t>
      </w:r>
    </w:p>
    <w:p>
      <w:pPr>
        <w:pStyle w:val="7"/>
        <w:widowControl/>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100" w:beforeAutospacing="1" w:after="100" w:afterAutospacing="1" w:line="440" w:lineRule="exact"/>
        <w:ind w:left="765" w:leftChars="0" w:right="0" w:hanging="765" w:firstLineChars="0"/>
        <w:jc w:val="center"/>
        <w:textAlignment w:val="auto"/>
        <w:outlineLvl w:val="9"/>
        <w:rPr>
          <w:rFonts w:ascii="Courier New" w:hAnsi="Courier New" w:cs="Courier New"/>
          <w:b/>
          <w:color w:val="000000"/>
          <w:kern w:val="0"/>
          <w:sz w:val="21"/>
          <w:szCs w:val="28"/>
        </w:rPr>
      </w:pPr>
      <w:r>
        <w:rPr>
          <w:rFonts w:hint="eastAsia" w:ascii="Courier New" w:hAnsi="Courier New" w:cs="Courier New"/>
          <w:b/>
          <w:color w:val="000000"/>
          <w:kern w:val="0"/>
          <w:sz w:val="21"/>
          <w:szCs w:val="28"/>
        </w:rPr>
        <w:t xml:space="preserve"> </w:t>
      </w:r>
      <w:r>
        <w:rPr>
          <w:rFonts w:ascii="Courier New" w:hAnsi="Courier New" w:cs="Courier New"/>
          <w:b/>
          <w:color w:val="000000"/>
          <w:kern w:val="0"/>
          <w:sz w:val="21"/>
          <w:szCs w:val="28"/>
        </w:rPr>
        <w:t>跨国公司与兼并收购与战略联盟</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了解：跨国并购的发展状况；跨国并购的理论的产生；战略联盟的概念、类型</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理解：跨国并购的趋势和特征；跨国并购的特点；并购方式选择理论；跨国并购动机的理论；战略联盟理论</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掌握：跨国并购的定义；并购效率；并购方式选择理论；跨国并购对东道国的影响；战略联盟目标与动因</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跨国并购概述</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知识点：定义；分类；趋势和特征</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跨国并购的理论和动因</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知识点：并购效率；并购方式选择理论；跨国并购动机的理论解释；</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跨国并购的特点及对东道国的影响</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知识点：跨国并购的特点；跨国并购对东道国的影响；跨国公司对我国的跨国并购</w:t>
      </w:r>
    </w:p>
    <w:p>
      <w:pPr>
        <w:pStyle w:val="7"/>
        <w:widowControl/>
        <w:numPr>
          <w:ilvl w:val="0"/>
          <w:numId w:val="4"/>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跨国战略联盟</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知识点：含义、特征与类型；跨国战略联盟的理论基础及理论解释；跨国战略联盟的发展动因、格局与趋势</w:t>
      </w:r>
    </w:p>
    <w:p>
      <w:pPr>
        <w:pStyle w:val="7"/>
        <w:widowControl/>
        <w:numPr>
          <w:ilvl w:val="0"/>
          <w:numId w:val="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100" w:beforeAutospacing="1" w:after="100" w:afterAutospacing="1" w:line="440" w:lineRule="exact"/>
        <w:ind w:left="765" w:leftChars="0" w:right="0" w:hanging="765" w:firstLineChars="0"/>
        <w:jc w:val="center"/>
        <w:textAlignment w:val="auto"/>
        <w:outlineLvl w:val="9"/>
        <w:rPr>
          <w:rFonts w:ascii="Courier New" w:hAnsi="Courier New" w:cs="Courier New"/>
          <w:b/>
          <w:color w:val="000000"/>
          <w:kern w:val="0"/>
          <w:sz w:val="21"/>
          <w:szCs w:val="28"/>
        </w:rPr>
      </w:pPr>
      <w:r>
        <w:rPr>
          <w:rFonts w:ascii="Courier New" w:hAnsi="Courier New" w:cs="Courier New"/>
          <w:b/>
          <w:color w:val="000000"/>
          <w:kern w:val="0"/>
          <w:sz w:val="21"/>
          <w:szCs w:val="28"/>
        </w:rPr>
        <w:t>跨国公司内部贸易与转移价格</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了解：跨国公司内部贸易受到的约束；跨国公司的内部转移价格；</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理解：跨国公司内部贸易的含义、特征和分类；转移价格的定义与形成；跨国公司操纵转移价格的限制；转移价格的制定方法与机制</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掌握：跨国公司内部贸易的含义、动因；转移价格对跨国公司的影响；成本加成法；市场基础法；转移价格制定实务</w:t>
      </w:r>
    </w:p>
    <w:p>
      <w:pPr>
        <w:pStyle w:val="7"/>
        <w:widowControl/>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跨国公司内部贸易</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知识点：内部贸易的含义、特征和分类；内部贸易的动因；跨国公司内部贸易受到的约束</w:t>
      </w:r>
    </w:p>
    <w:p>
      <w:pPr>
        <w:pStyle w:val="7"/>
        <w:widowControl/>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跨国公司的内部转移价格</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知识点：转移价格的定义与形成；转移价格对跨国公司的影响；转移价格的制定方法与机制；转移价格制定实务；跨国公司操纵转移价格的限制，转移价格对我国政府、企业的影响。</w:t>
      </w:r>
    </w:p>
    <w:p>
      <w:pPr>
        <w:pStyle w:val="7"/>
        <w:widowControl/>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跨国公司经营风险与管理（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了解：外汇风险的类型与管理；跨国公司的融资管理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理解：购买力平价说；汇率变动的经济结果；跨国公司的融资来源、成本和风险。</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掌握：国际费雪效应；外汇风险的类型与管理；跨国公司的融资战略；跨国公司内部资金管理</w:t>
      </w:r>
    </w:p>
    <w:p>
      <w:pPr>
        <w:pStyle w:val="7"/>
        <w:widowControl/>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跨国公司外汇风险管理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hint="eastAsia" w:ascii="Courier New" w:hAnsi="Courier New" w:cs="Courier New"/>
          <w:color w:val="000000"/>
          <w:kern w:val="0"/>
          <w:sz w:val="21"/>
        </w:rPr>
      </w:pPr>
      <w:r>
        <w:rPr>
          <w:rFonts w:ascii="Courier New" w:hAnsi="Courier New" w:cs="Courier New"/>
          <w:color w:val="000000"/>
          <w:kern w:val="0"/>
          <w:sz w:val="21"/>
        </w:rPr>
        <w:t>知识点：国际评价条件与外汇风险管理；国际评价条件；汇率变动的经济结果；外汇风险管理</w:t>
      </w:r>
    </w:p>
    <w:p>
      <w:pPr>
        <w:pStyle w:val="7"/>
        <w:widowControl/>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hint="eastAsia" w:ascii="Courier New" w:hAnsi="Courier New" w:cs="Courier New"/>
          <w:b/>
          <w:color w:val="000000"/>
          <w:kern w:val="0"/>
          <w:sz w:val="21"/>
        </w:rPr>
      </w:pPr>
      <w:r>
        <w:rPr>
          <w:rFonts w:ascii="Courier New" w:hAnsi="Courier New" w:cs="Courier New"/>
          <w:b/>
          <w:color w:val="000000"/>
          <w:kern w:val="0"/>
          <w:sz w:val="21"/>
        </w:rPr>
        <w:t>跨国公司的融资管理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知识点：跨国公司的融资战略；融资的来源、成本和风险</w:t>
      </w:r>
    </w:p>
    <w:p>
      <w:pPr>
        <w:pStyle w:val="7"/>
        <w:widowControl/>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line="440" w:lineRule="exact"/>
        <w:ind w:right="0" w:firstLineChars="0"/>
        <w:jc w:val="center"/>
        <w:textAlignment w:val="auto"/>
        <w:outlineLvl w:val="9"/>
        <w:rPr>
          <w:rFonts w:ascii="Courier New" w:hAnsi="Courier New" w:cs="Courier New"/>
          <w:b/>
          <w:color w:val="000000"/>
          <w:kern w:val="0"/>
          <w:sz w:val="21"/>
        </w:rPr>
      </w:pPr>
      <w:r>
        <w:rPr>
          <w:rFonts w:ascii="Courier New" w:hAnsi="Courier New" w:cs="Courier New"/>
          <w:b/>
          <w:color w:val="000000"/>
          <w:kern w:val="0"/>
          <w:sz w:val="21"/>
        </w:rPr>
        <w:t>跨国公司营运资金管理</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adjustRightInd/>
        <w:snapToGrid/>
        <w:spacing w:before="0" w:after="0" w:line="440" w:lineRule="exact"/>
        <w:ind w:left="-120" w:leftChars="0" w:right="0" w:firstLine="420" w:firstLineChars="200"/>
        <w:jc w:val="left"/>
        <w:textAlignment w:val="auto"/>
        <w:outlineLvl w:val="9"/>
        <w:rPr>
          <w:rFonts w:ascii="Courier New" w:hAnsi="Courier New" w:cs="Courier New"/>
          <w:color w:val="000000"/>
          <w:kern w:val="0"/>
          <w:sz w:val="21"/>
        </w:rPr>
      </w:pPr>
      <w:r>
        <w:rPr>
          <w:rFonts w:ascii="Courier New" w:hAnsi="Courier New" w:cs="Courier New"/>
          <w:color w:val="000000"/>
          <w:kern w:val="0"/>
          <w:sz w:val="21"/>
        </w:rPr>
        <w:t>知识点：跨国公司应收账款管理；存货管理</w:t>
      </w:r>
    </w:p>
    <w:p>
      <w:pPr>
        <w:wordWrap/>
        <w:adjustRightInd/>
        <w:snapToGrid/>
        <w:spacing w:beforeLines="50" w:afterLines="50" w:line="440" w:lineRule="exact"/>
        <w:ind w:right="0" w:firstLine="315" w:firstLineChars="150"/>
        <w:textAlignment w:val="auto"/>
        <w:outlineLvl w:val="9"/>
        <w:rPr>
          <w:rFonts w:ascii="宋体"/>
          <w:sz w:val="21"/>
          <w:szCs w:val="21"/>
        </w:rPr>
      </w:pPr>
    </w:p>
    <w:sectPr>
      <w:headerReference r:id="rId4" w:type="default"/>
      <w:pgSz w:w="11906" w:h="16838"/>
      <w:pgMar w:top="1440" w:right="1134" w:bottom="1440" w:left="1797" w:header="851" w:footer="992" w:gutter="0"/>
      <w:paperSrc w:first="0" w:oth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altName w:val="Bookshelf Symbol 7"/>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A00002EF" w:usb1="4000207B" w:usb2="00000000" w:usb3="00000000" w:csb0="2000009F" w:csb1="00000000"/>
  </w:font>
  <w:font w:name="华文中宋">
    <w:altName w:val="宋体"/>
    <w:panose1 w:val="02010600040101010101"/>
    <w:charset w:val="86"/>
    <w:family w:val="auto"/>
    <w:pitch w:val="default"/>
    <w:sig w:usb0="00000287" w:usb1="080F0000" w:usb2="00000010" w:usb3="00000000" w:csb0="0004009F" w:csb1="00000000"/>
  </w:font>
  <w:font w:name="Bookshelf Symbol 7">
    <w:panose1 w:val="05010101010101010101"/>
    <w:charset w:val="00"/>
    <w:family w:val="auto"/>
    <w:pitch w:val="default"/>
    <w:sig w:usb0="00000000" w:usb1="00000000" w:usb2="00000000" w:usb3="00000000" w:csb0="8000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943221733">
    <w:nsid w:val="38386BE5"/>
    <w:multiLevelType w:val="multilevel"/>
    <w:tmpl w:val="38386BE5"/>
    <w:lvl w:ilvl="0" w:tentative="1">
      <w:start w:val="1"/>
      <w:numFmt w:val="japaneseCounting"/>
      <w:lvlText w:val="第%1节"/>
      <w:lvlJc w:val="left"/>
      <w:pPr>
        <w:ind w:left="645" w:hanging="765"/>
      </w:pPr>
      <w:rPr>
        <w:rFonts w:hint="default"/>
      </w:rPr>
    </w:lvl>
    <w:lvl w:ilvl="1" w:tentative="1">
      <w:start w:val="1"/>
      <w:numFmt w:val="lowerLetter"/>
      <w:lvlText w:val="%2)"/>
      <w:lvlJc w:val="left"/>
      <w:pPr>
        <w:ind w:left="720" w:hanging="420"/>
      </w:pPr>
    </w:lvl>
    <w:lvl w:ilvl="2" w:tentative="1">
      <w:start w:val="1"/>
      <w:numFmt w:val="lowerRoman"/>
      <w:lvlText w:val="%3."/>
      <w:lvlJc w:val="right"/>
      <w:pPr>
        <w:ind w:left="1140" w:hanging="420"/>
      </w:pPr>
    </w:lvl>
    <w:lvl w:ilvl="3" w:tentative="1">
      <w:start w:val="1"/>
      <w:numFmt w:val="decimal"/>
      <w:lvlText w:val="%4."/>
      <w:lvlJc w:val="left"/>
      <w:pPr>
        <w:ind w:left="1560" w:hanging="420"/>
      </w:pPr>
    </w:lvl>
    <w:lvl w:ilvl="4" w:tentative="1">
      <w:start w:val="1"/>
      <w:numFmt w:val="lowerLetter"/>
      <w:lvlText w:val="%5)"/>
      <w:lvlJc w:val="left"/>
      <w:pPr>
        <w:ind w:left="1980" w:hanging="420"/>
      </w:pPr>
    </w:lvl>
    <w:lvl w:ilvl="5" w:tentative="1">
      <w:start w:val="1"/>
      <w:numFmt w:val="lowerRoman"/>
      <w:lvlText w:val="%6."/>
      <w:lvlJc w:val="right"/>
      <w:pPr>
        <w:ind w:left="2400" w:hanging="420"/>
      </w:pPr>
    </w:lvl>
    <w:lvl w:ilvl="6" w:tentative="1">
      <w:start w:val="1"/>
      <w:numFmt w:val="decimal"/>
      <w:lvlText w:val="%7."/>
      <w:lvlJc w:val="left"/>
      <w:pPr>
        <w:ind w:left="2820" w:hanging="420"/>
      </w:pPr>
    </w:lvl>
    <w:lvl w:ilvl="7" w:tentative="1">
      <w:start w:val="1"/>
      <w:numFmt w:val="lowerLetter"/>
      <w:lvlText w:val="%8)"/>
      <w:lvlJc w:val="left"/>
      <w:pPr>
        <w:ind w:left="3240" w:hanging="420"/>
      </w:pPr>
    </w:lvl>
    <w:lvl w:ilvl="8" w:tentative="1">
      <w:start w:val="1"/>
      <w:numFmt w:val="lowerRoman"/>
      <w:lvlText w:val="%9."/>
      <w:lvlJc w:val="right"/>
      <w:pPr>
        <w:ind w:left="3660" w:hanging="420"/>
      </w:pPr>
    </w:lvl>
  </w:abstractNum>
  <w:abstractNum w:abstractNumId="368575341">
    <w:nsid w:val="15F8036D"/>
    <w:multiLevelType w:val="multilevel"/>
    <w:tmpl w:val="15F8036D"/>
    <w:lvl w:ilvl="0" w:tentative="1">
      <w:start w:val="1"/>
      <w:numFmt w:val="japaneseCounting"/>
      <w:lvlText w:val="第%1节"/>
      <w:lvlJc w:val="left"/>
      <w:pPr>
        <w:ind w:left="600" w:hanging="720"/>
      </w:pPr>
      <w:rPr>
        <w:rFonts w:hint="default"/>
      </w:rPr>
    </w:lvl>
    <w:lvl w:ilvl="1" w:tentative="1">
      <w:start w:val="1"/>
      <w:numFmt w:val="lowerLetter"/>
      <w:lvlText w:val="%2)"/>
      <w:lvlJc w:val="left"/>
      <w:pPr>
        <w:ind w:left="720" w:hanging="420"/>
      </w:pPr>
    </w:lvl>
    <w:lvl w:ilvl="2" w:tentative="1">
      <w:start w:val="1"/>
      <w:numFmt w:val="lowerRoman"/>
      <w:lvlText w:val="%3."/>
      <w:lvlJc w:val="right"/>
      <w:pPr>
        <w:ind w:left="1140" w:hanging="420"/>
      </w:pPr>
    </w:lvl>
    <w:lvl w:ilvl="3" w:tentative="1">
      <w:start w:val="1"/>
      <w:numFmt w:val="decimal"/>
      <w:lvlText w:val="%4."/>
      <w:lvlJc w:val="left"/>
      <w:pPr>
        <w:ind w:left="1560" w:hanging="420"/>
      </w:pPr>
    </w:lvl>
    <w:lvl w:ilvl="4" w:tentative="1">
      <w:start w:val="1"/>
      <w:numFmt w:val="lowerLetter"/>
      <w:lvlText w:val="%5)"/>
      <w:lvlJc w:val="left"/>
      <w:pPr>
        <w:ind w:left="1980" w:hanging="420"/>
      </w:pPr>
    </w:lvl>
    <w:lvl w:ilvl="5" w:tentative="1">
      <w:start w:val="1"/>
      <w:numFmt w:val="lowerRoman"/>
      <w:lvlText w:val="%6."/>
      <w:lvlJc w:val="right"/>
      <w:pPr>
        <w:ind w:left="2400" w:hanging="420"/>
      </w:pPr>
    </w:lvl>
    <w:lvl w:ilvl="6" w:tentative="1">
      <w:start w:val="1"/>
      <w:numFmt w:val="decimal"/>
      <w:lvlText w:val="%7."/>
      <w:lvlJc w:val="left"/>
      <w:pPr>
        <w:ind w:left="2820" w:hanging="420"/>
      </w:pPr>
    </w:lvl>
    <w:lvl w:ilvl="7" w:tentative="1">
      <w:start w:val="1"/>
      <w:numFmt w:val="lowerLetter"/>
      <w:lvlText w:val="%8)"/>
      <w:lvlJc w:val="left"/>
      <w:pPr>
        <w:ind w:left="3240" w:hanging="420"/>
      </w:pPr>
    </w:lvl>
    <w:lvl w:ilvl="8" w:tentative="1">
      <w:start w:val="1"/>
      <w:numFmt w:val="lowerRoman"/>
      <w:lvlText w:val="%9."/>
      <w:lvlJc w:val="right"/>
      <w:pPr>
        <w:ind w:left="3660" w:hanging="420"/>
      </w:pPr>
    </w:lvl>
  </w:abstractNum>
  <w:abstractNum w:abstractNumId="1368794386">
    <w:nsid w:val="51962512"/>
    <w:multiLevelType w:val="multilevel"/>
    <w:tmpl w:val="51962512"/>
    <w:lvl w:ilvl="0" w:tentative="1">
      <w:start w:val="1"/>
      <w:numFmt w:val="japaneseCounting"/>
      <w:lvlText w:val="第%1章"/>
      <w:lvlJc w:val="left"/>
      <w:pPr>
        <w:ind w:left="765" w:hanging="76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139102519">
    <w:nsid w:val="7F801D37"/>
    <w:multiLevelType w:val="multilevel"/>
    <w:tmpl w:val="7F801D37"/>
    <w:lvl w:ilvl="0" w:tentative="1">
      <w:start w:val="2"/>
      <w:numFmt w:val="japaneseCounting"/>
      <w:lvlText w:val="第%1章"/>
      <w:lvlJc w:val="left"/>
      <w:pPr>
        <w:ind w:left="765" w:hanging="765"/>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03442883">
    <w:nsid w:val="0C204AC3"/>
    <w:multiLevelType w:val="multilevel"/>
    <w:tmpl w:val="0C204AC3"/>
    <w:lvl w:ilvl="0" w:tentative="1">
      <w:start w:val="1"/>
      <w:numFmt w:val="japaneseCounting"/>
      <w:lvlText w:val="第%1节"/>
      <w:lvlJc w:val="left"/>
      <w:pPr>
        <w:ind w:left="600" w:hanging="720"/>
      </w:pPr>
      <w:rPr>
        <w:rFonts w:hint="default"/>
      </w:rPr>
    </w:lvl>
    <w:lvl w:ilvl="1" w:tentative="1">
      <w:start w:val="1"/>
      <w:numFmt w:val="lowerLetter"/>
      <w:lvlText w:val="%2)"/>
      <w:lvlJc w:val="left"/>
      <w:pPr>
        <w:ind w:left="720" w:hanging="420"/>
      </w:pPr>
    </w:lvl>
    <w:lvl w:ilvl="2" w:tentative="1">
      <w:start w:val="1"/>
      <w:numFmt w:val="lowerRoman"/>
      <w:lvlText w:val="%3."/>
      <w:lvlJc w:val="right"/>
      <w:pPr>
        <w:ind w:left="1140" w:hanging="420"/>
      </w:pPr>
    </w:lvl>
    <w:lvl w:ilvl="3" w:tentative="1">
      <w:start w:val="1"/>
      <w:numFmt w:val="decimal"/>
      <w:lvlText w:val="%4."/>
      <w:lvlJc w:val="left"/>
      <w:pPr>
        <w:ind w:left="1560" w:hanging="420"/>
      </w:pPr>
    </w:lvl>
    <w:lvl w:ilvl="4" w:tentative="1">
      <w:start w:val="1"/>
      <w:numFmt w:val="lowerLetter"/>
      <w:lvlText w:val="%5)"/>
      <w:lvlJc w:val="left"/>
      <w:pPr>
        <w:ind w:left="1980" w:hanging="420"/>
      </w:pPr>
    </w:lvl>
    <w:lvl w:ilvl="5" w:tentative="1">
      <w:start w:val="1"/>
      <w:numFmt w:val="lowerRoman"/>
      <w:lvlText w:val="%6."/>
      <w:lvlJc w:val="right"/>
      <w:pPr>
        <w:ind w:left="2400" w:hanging="420"/>
      </w:pPr>
    </w:lvl>
    <w:lvl w:ilvl="6" w:tentative="1">
      <w:start w:val="1"/>
      <w:numFmt w:val="decimal"/>
      <w:lvlText w:val="%7."/>
      <w:lvlJc w:val="left"/>
      <w:pPr>
        <w:ind w:left="2820" w:hanging="420"/>
      </w:pPr>
    </w:lvl>
    <w:lvl w:ilvl="7" w:tentative="1">
      <w:start w:val="1"/>
      <w:numFmt w:val="lowerLetter"/>
      <w:lvlText w:val="%8)"/>
      <w:lvlJc w:val="left"/>
      <w:pPr>
        <w:ind w:left="3240" w:hanging="420"/>
      </w:pPr>
    </w:lvl>
    <w:lvl w:ilvl="8" w:tentative="1">
      <w:start w:val="1"/>
      <w:numFmt w:val="lowerRoman"/>
      <w:lvlText w:val="%9."/>
      <w:lvlJc w:val="right"/>
      <w:pPr>
        <w:ind w:left="3660" w:hanging="420"/>
      </w:pPr>
    </w:lvl>
  </w:abstractNum>
  <w:num w:numId="1">
    <w:abstractNumId w:val="1368794386"/>
  </w:num>
  <w:num w:numId="2">
    <w:abstractNumId w:val="368575341"/>
  </w:num>
  <w:num w:numId="3">
    <w:abstractNumId w:val="2139102519"/>
  </w:num>
  <w:num w:numId="4">
    <w:abstractNumId w:val="203442883"/>
  </w:num>
  <w:num w:numId="5">
    <w:abstractNumId w:val="9432217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04E065CB"/>
    <w:rsid w:val="2C21362A"/>
    <w:rsid w:val="579726F9"/>
    <w:rsid w:val="57EF0B89"/>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iPriority="0" w:name="Light Shading"/>
    <w:lsdException w:uiPriority="0" w:name="Light List"/>
    <w:lsdException w:uiPriority="0" w:name="Light Grid"/>
    <w:lsdException w:uiPriority="0" w:name="Medium Shading 1"/>
    <w:lsdException w:uiPriority="0" w:name="Medium Shading 2"/>
    <w:lsdException w:uiPriority="0" w:name="Medium List 1"/>
    <w:lsdException w:uiPriority="0" w:name="Medium List 2"/>
    <w:lsdException w:uiPriority="0" w:name="Medium Grid 1"/>
    <w:lsdException w:uiPriority="0" w:name="Medium Grid 2"/>
    <w:lsdException w:uiPriority="0" w:name="Medium Grid 3"/>
    <w:lsdException w:uiPriority="0" w:name="Dark List"/>
    <w:lsdException w:uiPriority="0" w:name="Colorful Shading"/>
    <w:lsdException w:uiPriority="0" w:name="Colorful List"/>
    <w:lsdException w:uiPriority="0" w:name="Colorful Grid"/>
    <w:lsdException w:uiPriority="0" w:name="Light Shading Accent 1"/>
    <w:lsdException w:uiPriority="0" w:name="Light List Accent 1"/>
    <w:lsdException w:uiPriority="0" w:name="Light Grid Accent 1"/>
    <w:lsdException w:uiPriority="0" w:name="Medium Shading 1 Accent 1"/>
    <w:lsdException w:uiPriority="0" w:name="Medium Shading 2 Accent 1"/>
    <w:lsdException w:uiPriority="0" w:name="Medium List 1 Accent 1"/>
    <w:lsdException w:uiPriority="0" w:name="Medium List 2 Accent 1"/>
    <w:lsdException w:uiPriority="0" w:name="Medium Grid 1 Accent 1"/>
    <w:lsdException w:uiPriority="0" w:name="Medium Grid 2 Accent 1"/>
    <w:lsdException w:uiPriority="0" w:name="Medium Grid 3 Accent 1"/>
    <w:lsdException w:uiPriority="0" w:name="Dark List Accent 1"/>
    <w:lsdException w:uiPriority="0" w:name="Colorful Shading Accent 1"/>
    <w:lsdException w:uiPriority="0" w:name="Colorful List Accent 1"/>
    <w:lsdException w:uiPriority="0" w:name="Colorful Grid Accent 1"/>
    <w:lsdException w:uiPriority="0" w:name="Light Shading Accent 2"/>
    <w:lsdException w:uiPriority="0" w:name="Light List Accent 2"/>
    <w:lsdException w:uiPriority="0" w:name="Light Grid Accent 2"/>
    <w:lsdException w:uiPriority="0" w:name="Medium Shading 1 Accent 2"/>
    <w:lsdException w:uiPriority="0" w:name="Medium Shading 2 Accent 2"/>
    <w:lsdException w:uiPriority="0" w:name="Medium List 1 Accent 2"/>
    <w:lsdException w:uiPriority="0" w:name="Medium List 2 Accent 2"/>
    <w:lsdException w:uiPriority="0" w:name="Medium Grid 1 Accent 2"/>
    <w:lsdException w:uiPriority="0" w:name="Medium Grid 2 Accent 2"/>
    <w:lsdException w:uiPriority="0" w:name="Medium Grid 3 Accent 2"/>
    <w:lsdException w:uiPriority="0" w:name="Dark List Accent 2"/>
    <w:lsdException w:uiPriority="0" w:name="Colorful Shading Accent 2"/>
    <w:lsdException w:uiPriority="0" w:name="Colorful List Accent 2"/>
    <w:lsdException w:uiPriority="0" w:name="Colorful Grid Accent 2"/>
    <w:lsdException w:uiPriority="0" w:name="Light Shading Accent 3"/>
    <w:lsdException w:uiPriority="0" w:name="Light List Accent 3"/>
    <w:lsdException w:uiPriority="0" w:name="Light Grid Accent 3"/>
    <w:lsdException w:uiPriority="0" w:name="Medium Shading 1 Accent 3"/>
    <w:lsdException w:uiPriority="0" w:name="Medium Shading 2 Accent 3"/>
    <w:lsdException w:uiPriority="0" w:name="Medium List 1 Accent 3"/>
    <w:lsdException w:uiPriority="0" w:name="Medium List 2 Accent 3"/>
    <w:lsdException w:uiPriority="0" w:name="Medium Grid 1 Accent 3"/>
    <w:lsdException w:uiPriority="0" w:name="Medium Grid 2 Accent 3"/>
    <w:lsdException w:uiPriority="0" w:name="Medium Grid 3 Accent 3"/>
    <w:lsdException w:uiPriority="0" w:name="Dark List Accent 3"/>
    <w:lsdException w:uiPriority="0" w:name="Colorful Shading Accent 3"/>
    <w:lsdException w:uiPriority="0" w:name="Colorful List Accent 3"/>
    <w:lsdException w:uiPriority="0" w:name="Colorful Grid Accent 3"/>
    <w:lsdException w:uiPriority="0" w:name="Light Shading Accent 4"/>
    <w:lsdException w:uiPriority="0" w:name="Light List Accent 4"/>
    <w:lsdException w:uiPriority="0" w:name="Light Grid Accent 4"/>
    <w:lsdException w:uiPriority="0" w:name="Medium Shading 1 Accent 4"/>
    <w:lsdException w:uiPriority="0" w:name="Medium Shading 2 Accent 4"/>
    <w:lsdException w:uiPriority="0" w:name="Medium List 1 Accent 4"/>
    <w:lsdException w:uiPriority="0" w:name="Medium List 2 Accent 4"/>
    <w:lsdException w:uiPriority="0" w:name="Medium Grid 1 Accent 4"/>
    <w:lsdException w:uiPriority="0" w:name="Medium Grid 2 Accent 4"/>
    <w:lsdException w:uiPriority="0" w:name="Medium Grid 3 Accent 4"/>
    <w:lsdException w:uiPriority="0" w:name="Dark List Accent 4"/>
    <w:lsdException w:uiPriority="0" w:name="Colorful Shading Accent 4"/>
    <w:lsdException w:uiPriority="0" w:name="Colorful List Accent 4"/>
    <w:lsdException w:uiPriority="0" w:name="Colorful Grid Accent 4"/>
    <w:lsdException w:uiPriority="0" w:name="Light Shading Accent 5"/>
    <w:lsdException w:uiPriority="0" w:name="Light List Accent 5"/>
    <w:lsdException w:uiPriority="0" w:name="Light Grid Accent 5"/>
    <w:lsdException w:uiPriority="0" w:name="Medium Shading 1 Accent 5"/>
    <w:lsdException w:uiPriority="0" w:name="Medium Shading 2 Accent 5"/>
    <w:lsdException w:uiPriority="0" w:name="Medium List 1 Accent 5"/>
    <w:lsdException w:uiPriority="0" w:name="Medium List 2 Accent 5"/>
    <w:lsdException w:uiPriority="0" w:name="Medium Grid 1 Accent 5"/>
    <w:lsdException w:uiPriority="0" w:name="Medium Grid 2 Accent 5"/>
    <w:lsdException w:uiPriority="0" w:name="Medium Grid 3 Accent 5"/>
    <w:lsdException w:uiPriority="0" w:name="Dark List Accent 5"/>
    <w:lsdException w:uiPriority="0" w:name="Colorful Shading Accent 5"/>
    <w:lsdException w:uiPriority="0" w:name="Colorful List Accent 5"/>
    <w:lsdException w:uiPriority="0" w:name="Colorful Grid Accent 5"/>
    <w:lsdException w:uiPriority="0" w:name="Light Shading Accent 6"/>
    <w:lsdException w:uiPriority="0" w:name="Light List Accent 6"/>
    <w:lsdException w:uiPriority="0" w:name="Light Grid Accent 6"/>
    <w:lsdException w:uiPriority="0" w:name="Medium Shading 1 Accent 6"/>
    <w:lsdException w:uiPriority="0" w:name="Medium Shading 2 Accent 6"/>
    <w:lsdException w:uiPriority="0" w:name="Medium List 1 Accent 6"/>
    <w:lsdException w:uiPriority="0" w:name="Medium List 2 Accent 6"/>
    <w:lsdException w:uiPriority="0" w:name="Medium Grid 1 Accent 6"/>
    <w:lsdException w:uiPriority="0" w:name="Medium Grid 2 Accent 6"/>
    <w:lsdException w:uiPriority="0" w:name="Medium Grid 3 Accent 6"/>
    <w:lsdException w:uiPriority="0" w:name="Dark List Accent 6"/>
    <w:lsdException w:uiPriority="0" w:name="Colorful Shading Accent 6"/>
    <w:lsdException w:uiPriority="0" w:name="Colorful List Accent 6"/>
    <w:lsdException w:uiPriority="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unhideWhenUsed/>
    <w:uiPriority w:val="0"/>
    <w:tblPr>
      <w:tblStyle w:val="6"/>
      <w:tblLayout w:type="fixed"/>
      <w:tblCellMar>
        <w:top w:w="0" w:type="dxa"/>
        <w:left w:w="108" w:type="dxa"/>
        <w:bottom w:w="0" w:type="dxa"/>
        <w:right w:w="108" w:type="dxa"/>
      </w:tblCellMar>
    </w:tblPr>
    <w:tcPr>
      <w:textDirection w:val="lrTb"/>
    </w:tcPr>
  </w:style>
  <w:style w:type="paragraph" w:styleId="2">
    <w:name w:val="footer"/>
    <w:basedOn w:val="1"/>
    <w:link w:val="9"/>
    <w:semiHidden/>
    <w:uiPriority w:val="99"/>
    <w:pPr>
      <w:tabs>
        <w:tab w:val="center" w:pos="4153"/>
        <w:tab w:val="right" w:pos="8306"/>
      </w:tabs>
      <w:snapToGrid w:val="0"/>
      <w:jc w:val="left"/>
    </w:pPr>
    <w:rPr>
      <w:sz w:val="18"/>
      <w:szCs w:val="18"/>
    </w:rPr>
  </w:style>
  <w:style w:type="paragraph" w:styleId="3">
    <w:name w:val="header"/>
    <w:basedOn w:val="1"/>
    <w:link w:val="8"/>
    <w:semiHidden/>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99"/>
    <w:rPr>
      <w:rFonts w:cs="Times New Roman"/>
      <w:b/>
      <w:bCs/>
    </w:rPr>
  </w:style>
  <w:style w:type="paragraph" w:customStyle="1" w:styleId="7">
    <w:name w:val="List Paragraph"/>
    <w:basedOn w:val="1"/>
    <w:qFormat/>
    <w:uiPriority w:val="34"/>
    <w:pPr>
      <w:ind w:firstLine="420" w:firstLineChars="200"/>
    </w:pPr>
  </w:style>
  <w:style w:type="character" w:customStyle="1" w:styleId="8">
    <w:name w:val="页眉 Char"/>
    <w:basedOn w:val="4"/>
    <w:link w:val="3"/>
    <w:semiHidden/>
    <w:locked/>
    <w:uiPriority w:val="99"/>
    <w:rPr>
      <w:rFonts w:ascii="Times New Roman" w:hAnsi="Times New Roman" w:eastAsia="宋体" w:cs="Times New Roman"/>
      <w:sz w:val="18"/>
      <w:szCs w:val="18"/>
    </w:rPr>
  </w:style>
  <w:style w:type="character" w:customStyle="1" w:styleId="9">
    <w:name w:val="页脚 Char"/>
    <w:basedOn w:val="4"/>
    <w:link w:val="2"/>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7</Pages>
  <Words>496</Words>
  <Characters>2829</Characters>
  <Lines>23</Lines>
  <Paragraphs>6</Paragraphs>
  <ScaleCrop>false</ScaleCrop>
  <LinksUpToDate>false</LinksUpToDate>
  <CharactersWithSpaces>0</CharactersWithSpaces>
  <Application>WPS Office 个人版_9.1.0.4867_{F1E327BC-269C-435d-A152-05C5408002CA}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2014-09-19T09:32:00Z</dcterms:created>
  <dc:creator>Sky123.Org</dc:creator>
  <cp:lastModifiedBy>Administrator</cp:lastModifiedBy>
  <cp:lastPrinted>2014-09-22T01:57:00Z</cp:lastPrinted>
  <dcterms:modified xsi:type="dcterms:W3CDTF">2014-12-10T07:05:54Z</dcterms:modified>
  <dc:title>《国际投资与跨国经营》课程教学大纲</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2052-9.1.0.4867</vt:lpwstr>
  </property>
</Properties>
</file>